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593A" w14:textId="0E32649E" w:rsidR="003D544E" w:rsidRPr="00192D47" w:rsidRDefault="00C03A3D" w:rsidP="0067493E">
      <w:pPr>
        <w:tabs>
          <w:tab w:val="left" w:pos="6780"/>
        </w:tabs>
        <w:rPr>
          <w:color w:val="000000" w:themeColor="text1"/>
          <w:sz w:val="16"/>
        </w:rPr>
      </w:pPr>
      <w:r w:rsidRPr="00192D47">
        <w:rPr>
          <w:noProof/>
          <w:color w:val="000000" w:themeColor="text1"/>
        </w:rPr>
        <w:drawing>
          <wp:anchor distT="0" distB="0" distL="0" distR="0" simplePos="0" relativeHeight="251661312" behindDoc="0" locked="0" layoutInCell="1" allowOverlap="1" wp14:anchorId="253CDE39" wp14:editId="556B31FF">
            <wp:simplePos x="0" y="0"/>
            <wp:positionH relativeFrom="margin">
              <wp:posOffset>-152400</wp:posOffset>
            </wp:positionH>
            <wp:positionV relativeFrom="paragraph">
              <wp:posOffset>-4445</wp:posOffset>
            </wp:positionV>
            <wp:extent cx="771144" cy="777240"/>
            <wp:effectExtent l="0" t="0" r="0" b="3810"/>
            <wp:wrapNone/>
            <wp:docPr id="46598597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71144" cy="777240"/>
                    </a:xfrm>
                    <a:prstGeom prst="rect">
                      <a:avLst/>
                    </a:prstGeom>
                  </pic:spPr>
                </pic:pic>
              </a:graphicData>
            </a:graphic>
          </wp:anchor>
        </w:drawing>
      </w:r>
      <w:r w:rsidR="008760DE" w:rsidRPr="00192D47">
        <w:rPr>
          <w:noProof/>
          <w:color w:val="000000" w:themeColor="text1"/>
          <w:lang w:val="bs-Latn-BA" w:eastAsia="bs-Latn-BA"/>
        </w:rPr>
        <mc:AlternateContent>
          <mc:Choice Requires="wps">
            <w:drawing>
              <wp:anchor distT="0" distB="0" distL="114300" distR="114300" simplePos="0" relativeHeight="251659264" behindDoc="0" locked="0" layoutInCell="1" allowOverlap="1" wp14:anchorId="517CFEE3" wp14:editId="434B1DB6">
                <wp:simplePos x="0" y="0"/>
                <wp:positionH relativeFrom="column">
                  <wp:posOffset>3652520</wp:posOffset>
                </wp:positionH>
                <wp:positionV relativeFrom="paragraph">
                  <wp:posOffset>-396240</wp:posOffset>
                </wp:positionV>
                <wp:extent cx="1943100" cy="2095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F1ABC" w14:textId="77777777" w:rsidR="008760DE" w:rsidRDefault="008760DE" w:rsidP="008760DE"/>
                          <w:p w14:paraId="213170F2" w14:textId="77777777" w:rsidR="008760DE" w:rsidRDefault="008760DE" w:rsidP="008760DE">
                            <w:r>
                              <w:t xml:space="preserve">  </w:t>
                            </w:r>
                          </w:p>
                          <w:p w14:paraId="00C6B4CE" w14:textId="77777777" w:rsidR="008760DE" w:rsidRPr="00A6470F" w:rsidRDefault="008760DE" w:rsidP="008760D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CFEE3" id="_x0000_t202" coordsize="21600,21600" o:spt="202" path="m,l,21600r21600,l21600,xe">
                <v:stroke joinstyle="miter"/>
                <v:path gradientshapeok="t" o:connecttype="rect"/>
              </v:shapetype>
              <v:shape id="Text Box 3" o:spid="_x0000_s1026" type="#_x0000_t202" style="position:absolute;margin-left:287.6pt;margin-top:-31.2pt;width:15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" stroked="f">
                <v:textbox>
                  <w:txbxContent>
                    <w:p w14:paraId="427F1ABC" w14:textId="77777777" w:rsidR="008760DE" w:rsidRDefault="008760DE" w:rsidP="008760DE"/>
                    <w:p w14:paraId="213170F2" w14:textId="77777777" w:rsidR="008760DE" w:rsidRDefault="008760DE" w:rsidP="008760DE">
                      <w:r>
                        <w:t xml:space="preserve">  </w:t>
                      </w:r>
                    </w:p>
                    <w:p w14:paraId="00C6B4CE" w14:textId="77777777" w:rsidR="008760DE" w:rsidRPr="00A6470F" w:rsidRDefault="008760DE" w:rsidP="008760DE">
                      <w:r>
                        <w:t xml:space="preserve"> </w:t>
                      </w:r>
                    </w:p>
                  </w:txbxContent>
                </v:textbox>
              </v:shape>
            </w:pict>
          </mc:Fallback>
        </mc:AlternateContent>
      </w:r>
    </w:p>
    <w:p w14:paraId="61FEB978" w14:textId="677853C4" w:rsidR="003D544E" w:rsidRPr="00192D47" w:rsidRDefault="0067493E" w:rsidP="0067493E">
      <w:pPr>
        <w:pStyle w:val="BodyText"/>
        <w:spacing w:before="107" w:line="220" w:lineRule="auto"/>
        <w:ind w:right="2346"/>
        <w:contextualSpacing/>
        <w:rPr>
          <w:color w:val="000000" w:themeColor="text1"/>
        </w:rPr>
      </w:pPr>
      <w:r w:rsidRPr="00192D47">
        <w:rPr>
          <w:color w:val="000000" w:themeColor="text1"/>
        </w:rPr>
        <w:t xml:space="preserve">                     </w:t>
      </w:r>
      <w:r w:rsidR="003D544E" w:rsidRPr="00192D47">
        <w:rPr>
          <w:color w:val="000000" w:themeColor="text1"/>
        </w:rPr>
        <w:t>Ministarstvo</w:t>
      </w:r>
      <w:r w:rsidR="003D544E" w:rsidRPr="00192D47">
        <w:rPr>
          <w:color w:val="000000" w:themeColor="text1"/>
          <w:spacing w:val="1"/>
        </w:rPr>
        <w:t xml:space="preserve"> </w:t>
      </w:r>
      <w:r w:rsidR="003D544E" w:rsidRPr="00192D47">
        <w:rPr>
          <w:color w:val="000000" w:themeColor="text1"/>
        </w:rPr>
        <w:t>zdravstva,</w:t>
      </w:r>
      <w:r w:rsidR="003D544E" w:rsidRPr="00192D47">
        <w:rPr>
          <w:color w:val="000000" w:themeColor="text1"/>
          <w:spacing w:val="1"/>
        </w:rPr>
        <w:t xml:space="preserve"> </w:t>
      </w:r>
      <w:r w:rsidR="003D544E" w:rsidRPr="00192D47">
        <w:rPr>
          <w:color w:val="000000" w:themeColor="text1"/>
        </w:rPr>
        <w:t>rada i socijalne skrbi HNŽ</w:t>
      </w:r>
      <w:r w:rsidRPr="00192D47">
        <w:rPr>
          <w:color w:val="000000" w:themeColor="text1"/>
        </w:rPr>
        <w:t>-</w:t>
      </w:r>
      <w:r w:rsidR="003D544E" w:rsidRPr="00192D47">
        <w:rPr>
          <w:color w:val="000000" w:themeColor="text1"/>
        </w:rPr>
        <w:t>K</w:t>
      </w:r>
    </w:p>
    <w:p w14:paraId="5F151E6E" w14:textId="0892884C" w:rsidR="0067493E" w:rsidRPr="00192D47" w:rsidRDefault="0067493E" w:rsidP="0067493E">
      <w:pPr>
        <w:pStyle w:val="BodyText"/>
        <w:spacing w:before="107" w:line="220" w:lineRule="auto"/>
        <w:ind w:right="2346"/>
        <w:contextualSpacing/>
        <w:rPr>
          <w:color w:val="000000" w:themeColor="text1"/>
        </w:rPr>
      </w:pPr>
      <w:r w:rsidRPr="00192D47">
        <w:rPr>
          <w:color w:val="000000" w:themeColor="text1"/>
        </w:rPr>
        <w:t xml:space="preserve">                     </w:t>
      </w:r>
      <w:r w:rsidR="003D544E" w:rsidRPr="00192D47">
        <w:rPr>
          <w:color w:val="000000" w:themeColor="text1"/>
        </w:rPr>
        <w:t>Ministarstvo</w:t>
      </w:r>
      <w:r w:rsidR="003D544E" w:rsidRPr="00192D47">
        <w:rPr>
          <w:color w:val="000000" w:themeColor="text1"/>
          <w:spacing w:val="1"/>
        </w:rPr>
        <w:t xml:space="preserve"> </w:t>
      </w:r>
      <w:r w:rsidR="003D544E" w:rsidRPr="00192D47">
        <w:rPr>
          <w:color w:val="000000" w:themeColor="text1"/>
        </w:rPr>
        <w:t>zdravstva,</w:t>
      </w:r>
      <w:r w:rsidR="003D544E" w:rsidRPr="00192D47">
        <w:rPr>
          <w:color w:val="000000" w:themeColor="text1"/>
          <w:spacing w:val="44"/>
        </w:rPr>
        <w:t xml:space="preserve"> </w:t>
      </w:r>
      <w:r w:rsidR="003D544E" w:rsidRPr="00192D47">
        <w:rPr>
          <w:color w:val="000000" w:themeColor="text1"/>
        </w:rPr>
        <w:t>rada</w:t>
      </w:r>
      <w:r w:rsidR="003D544E" w:rsidRPr="00192D47">
        <w:rPr>
          <w:color w:val="000000" w:themeColor="text1"/>
          <w:spacing w:val="28"/>
        </w:rPr>
        <w:t xml:space="preserve"> </w:t>
      </w:r>
      <w:r w:rsidR="003D544E" w:rsidRPr="00192D47">
        <w:rPr>
          <w:color w:val="000000" w:themeColor="text1"/>
        </w:rPr>
        <w:t>i</w:t>
      </w:r>
      <w:r w:rsidR="003D544E" w:rsidRPr="00192D47">
        <w:rPr>
          <w:color w:val="000000" w:themeColor="text1"/>
          <w:spacing w:val="8"/>
        </w:rPr>
        <w:t xml:space="preserve"> </w:t>
      </w:r>
      <w:r w:rsidR="003D544E" w:rsidRPr="00192D47">
        <w:rPr>
          <w:color w:val="000000" w:themeColor="text1"/>
        </w:rPr>
        <w:t>socijalne</w:t>
      </w:r>
      <w:r w:rsidR="003D544E" w:rsidRPr="00192D47">
        <w:rPr>
          <w:color w:val="000000" w:themeColor="text1"/>
          <w:spacing w:val="24"/>
        </w:rPr>
        <w:t xml:space="preserve"> </w:t>
      </w:r>
      <w:r w:rsidR="003D544E" w:rsidRPr="00192D47">
        <w:rPr>
          <w:color w:val="000000" w:themeColor="text1"/>
        </w:rPr>
        <w:t>zaštite HNK</w:t>
      </w:r>
    </w:p>
    <w:p w14:paraId="12FE395F" w14:textId="28482977" w:rsidR="003D544E" w:rsidRPr="00192D47" w:rsidRDefault="0067493E" w:rsidP="0067493E">
      <w:pPr>
        <w:pStyle w:val="BodyText"/>
        <w:spacing w:before="107" w:line="220" w:lineRule="auto"/>
        <w:ind w:right="2346"/>
        <w:contextualSpacing/>
        <w:rPr>
          <w:color w:val="000000" w:themeColor="text1"/>
        </w:rPr>
      </w:pPr>
      <w:r w:rsidRPr="00192D47">
        <w:rPr>
          <w:rFonts w:ascii="Arial" w:eastAsiaTheme="minorHAnsi" w:hAnsi="Arial" w:cs="Arial"/>
          <w:color w:val="000000" w:themeColor="text1"/>
          <w:sz w:val="20"/>
          <w:szCs w:val="20"/>
        </w:rPr>
        <w:t xml:space="preserve">                       </w:t>
      </w:r>
      <w:r w:rsidR="003D544E" w:rsidRPr="00192D47">
        <w:rPr>
          <w:rFonts w:ascii="Arial" w:eastAsiaTheme="minorHAnsi" w:hAnsi="Arial" w:cs="Arial"/>
          <w:color w:val="000000" w:themeColor="text1"/>
          <w:sz w:val="20"/>
          <w:szCs w:val="20"/>
        </w:rPr>
        <w:t>Министарство здравства, рада и социјалне заштите ХНК</w:t>
      </w:r>
    </w:p>
    <w:p w14:paraId="3DEBB758" w14:textId="77777777" w:rsidR="003D544E" w:rsidRPr="00192D47" w:rsidRDefault="003D544E" w:rsidP="003D544E">
      <w:pPr>
        <w:spacing w:before="12"/>
        <w:ind w:left="1668"/>
        <w:rPr>
          <w:color w:val="000000" w:themeColor="text1"/>
          <w:sz w:val="17"/>
        </w:rPr>
      </w:pPr>
    </w:p>
    <w:p w14:paraId="002860B7" w14:textId="77777777" w:rsidR="008760DE" w:rsidRPr="00192D47" w:rsidRDefault="008760DE" w:rsidP="008760DE">
      <w:pPr>
        <w:jc w:val="both"/>
        <w:rPr>
          <w:rFonts w:eastAsiaTheme="minorEastAsia"/>
          <w:color w:val="000000" w:themeColor="text1"/>
        </w:rPr>
      </w:pPr>
    </w:p>
    <w:p w14:paraId="7B8D9033" w14:textId="77777777" w:rsidR="008760DE" w:rsidRPr="00192D47" w:rsidRDefault="008760DE" w:rsidP="008760DE">
      <w:pPr>
        <w:jc w:val="both"/>
        <w:rPr>
          <w:rFonts w:eastAsiaTheme="minorEastAsia"/>
          <w:color w:val="000000" w:themeColor="text1"/>
        </w:rPr>
      </w:pPr>
    </w:p>
    <w:p w14:paraId="528A969A" w14:textId="242518BA" w:rsidR="008760DE" w:rsidRPr="00192D47" w:rsidRDefault="00192D47" w:rsidP="008760DE">
      <w:pPr>
        <w:jc w:val="both"/>
        <w:rPr>
          <w:rFonts w:eastAsiaTheme="minorEastAsia"/>
          <w:color w:val="000000" w:themeColor="text1"/>
        </w:rPr>
      </w:pPr>
      <w:r w:rsidRPr="00192D47">
        <w:rPr>
          <w:rFonts w:eastAsiaTheme="minorEastAsia"/>
          <w:color w:val="000000" w:themeColor="text1"/>
        </w:rPr>
        <w:t xml:space="preserve">Na osnovu tačke V. Odluke Vlade HNK o načinu trošenja </w:t>
      </w:r>
      <w:r w:rsidR="004A3FF0">
        <w:rPr>
          <w:rFonts w:eastAsiaTheme="minorEastAsia"/>
          <w:color w:val="000000" w:themeColor="text1"/>
        </w:rPr>
        <w:t xml:space="preserve">novčanih </w:t>
      </w:r>
      <w:r w:rsidRPr="00192D47">
        <w:rPr>
          <w:rFonts w:eastAsiaTheme="minorEastAsia"/>
          <w:color w:val="000000" w:themeColor="text1"/>
        </w:rPr>
        <w:t xml:space="preserve">sredstava, utvrđivanju kriterija, uslova i načina raspodjele sredstava utvrđenih Budžetom HNK za 2025. godinu za Ministarstvo zdravstva, rada i socijalne </w:t>
      </w:r>
      <w:r>
        <w:rPr>
          <w:rFonts w:eastAsiaTheme="minorEastAsia"/>
          <w:color w:val="000000" w:themeColor="text1"/>
        </w:rPr>
        <w:t>zaštite</w:t>
      </w:r>
      <w:r w:rsidRPr="00192D47">
        <w:rPr>
          <w:rFonts w:eastAsiaTheme="minorEastAsia"/>
          <w:color w:val="000000" w:themeColor="text1"/>
        </w:rPr>
        <w:t xml:space="preserve"> s pozicije "Grant javnim kuhinjama" broj: 01-1-02-2595/25 od 27.10.2025. godine, Ministarstvo zdravstva, rada i socijalne zaštite HNK objavljuje</w:t>
      </w:r>
    </w:p>
    <w:p w14:paraId="29C06E1C" w14:textId="77777777" w:rsidR="008760DE" w:rsidRPr="00192D47" w:rsidRDefault="008760DE" w:rsidP="008760DE">
      <w:pPr>
        <w:jc w:val="both"/>
        <w:rPr>
          <w:rFonts w:eastAsiaTheme="minorEastAsia"/>
          <w:color w:val="000000" w:themeColor="text1"/>
        </w:rPr>
      </w:pPr>
    </w:p>
    <w:p w14:paraId="564D02AF" w14:textId="77777777" w:rsidR="008760DE" w:rsidRPr="00192D47" w:rsidRDefault="008760DE" w:rsidP="008760DE">
      <w:pPr>
        <w:tabs>
          <w:tab w:val="left" w:pos="1410"/>
        </w:tabs>
        <w:jc w:val="center"/>
        <w:rPr>
          <w:rFonts w:eastAsiaTheme="minorEastAsia"/>
          <w:b/>
          <w:bCs/>
          <w:color w:val="000000" w:themeColor="text1"/>
        </w:rPr>
      </w:pPr>
      <w:r w:rsidRPr="00192D47">
        <w:rPr>
          <w:rFonts w:eastAsiaTheme="minorEastAsia"/>
          <w:b/>
          <w:bCs/>
          <w:color w:val="000000" w:themeColor="text1"/>
          <w:sz w:val="28"/>
          <w:szCs w:val="28"/>
        </w:rPr>
        <w:t xml:space="preserve">     </w:t>
      </w:r>
      <w:r w:rsidRPr="00192D47">
        <w:rPr>
          <w:rFonts w:eastAsiaTheme="minorEastAsia"/>
          <w:b/>
          <w:bCs/>
          <w:color w:val="000000" w:themeColor="text1"/>
        </w:rPr>
        <w:t>J A V N I   P O Z I V</w:t>
      </w:r>
    </w:p>
    <w:p w14:paraId="19686F7C" w14:textId="45214653" w:rsidR="008760DE" w:rsidRPr="00192D47" w:rsidRDefault="00B423E2" w:rsidP="008760DE">
      <w:pPr>
        <w:tabs>
          <w:tab w:val="left" w:pos="1410"/>
        </w:tabs>
        <w:jc w:val="center"/>
        <w:rPr>
          <w:rFonts w:eastAsiaTheme="minorEastAsia"/>
          <w:b/>
          <w:bCs/>
          <w:color w:val="000000" w:themeColor="text1"/>
        </w:rPr>
      </w:pPr>
      <w:r w:rsidRPr="00B423E2">
        <w:rPr>
          <w:rFonts w:eastAsiaTheme="minorEastAsia"/>
          <w:b/>
          <w:bCs/>
          <w:color w:val="000000" w:themeColor="text1"/>
        </w:rPr>
        <w:t xml:space="preserve">za prikupljanje zahtjeva za dodjelu </w:t>
      </w:r>
      <w:r w:rsidR="00486A9D">
        <w:rPr>
          <w:rFonts w:eastAsiaTheme="minorEastAsia"/>
          <w:b/>
          <w:bCs/>
          <w:color w:val="000000" w:themeColor="text1"/>
        </w:rPr>
        <w:t xml:space="preserve">novčanih </w:t>
      </w:r>
      <w:r w:rsidRPr="00B423E2">
        <w:rPr>
          <w:rFonts w:eastAsiaTheme="minorEastAsia"/>
          <w:b/>
          <w:bCs/>
          <w:color w:val="000000" w:themeColor="text1"/>
        </w:rPr>
        <w:t>sredstava institucijama, udruženjima i vjerskim zajednicama s područja HNK u okviru kojih je organizirana javna kuhinja</w:t>
      </w:r>
    </w:p>
    <w:p w14:paraId="5689BA78" w14:textId="77777777" w:rsidR="008760DE" w:rsidRPr="00192D47" w:rsidRDefault="008760DE" w:rsidP="008760DE">
      <w:pPr>
        <w:tabs>
          <w:tab w:val="left" w:pos="1410"/>
        </w:tabs>
        <w:jc w:val="center"/>
        <w:rPr>
          <w:rFonts w:eastAsiaTheme="minorEastAsia"/>
          <w:b/>
          <w:bCs/>
          <w:color w:val="000000" w:themeColor="text1"/>
        </w:rPr>
      </w:pPr>
    </w:p>
    <w:p w14:paraId="7CC35FF0" w14:textId="77777777" w:rsidR="008760DE" w:rsidRPr="00192D47" w:rsidRDefault="008760DE" w:rsidP="008760DE">
      <w:pPr>
        <w:jc w:val="center"/>
        <w:rPr>
          <w:rFonts w:eastAsiaTheme="minorEastAsia"/>
          <w:b/>
          <w:bCs/>
          <w:color w:val="000000" w:themeColor="text1"/>
        </w:rPr>
      </w:pPr>
      <w:r w:rsidRPr="00192D47">
        <w:rPr>
          <w:rFonts w:eastAsiaTheme="minorEastAsia"/>
          <w:b/>
          <w:bCs/>
          <w:color w:val="000000" w:themeColor="text1"/>
        </w:rPr>
        <w:t>I</w:t>
      </w:r>
    </w:p>
    <w:p w14:paraId="6E446BED" w14:textId="77777777" w:rsidR="008760DE" w:rsidRPr="00192D47" w:rsidRDefault="008760DE" w:rsidP="008760DE">
      <w:pPr>
        <w:jc w:val="center"/>
        <w:rPr>
          <w:rFonts w:eastAsiaTheme="minorEastAsia"/>
          <w:b/>
          <w:bCs/>
          <w:color w:val="000000" w:themeColor="text1"/>
        </w:rPr>
      </w:pPr>
    </w:p>
    <w:p w14:paraId="1980644F" w14:textId="44036E66" w:rsidR="008760DE" w:rsidRPr="00192D47" w:rsidRDefault="00192D47" w:rsidP="008760DE">
      <w:pPr>
        <w:jc w:val="both"/>
        <w:rPr>
          <w:rFonts w:eastAsiaTheme="minorEastAsia"/>
          <w:color w:val="000000" w:themeColor="text1"/>
        </w:rPr>
      </w:pPr>
      <w:r w:rsidRPr="00192D47">
        <w:rPr>
          <w:rFonts w:eastAsiaTheme="minorEastAsia"/>
          <w:color w:val="000000" w:themeColor="text1"/>
        </w:rPr>
        <w:t>Predmet Javnog poziva je prikupljanje zahtjeva institucija, udruženja i vjerskih zajednica u okviru kojih je organizirana javna kuhinja za sufinansiranje programa rada javnih kuhinja iz Budžeta HNK za 2025. godinu sa pozicije "Grant javnim kuhinjama", organizacijska jedinica 19010001, ekonomski kod 614 300 JBN001, u iznosu od 130.000,00 KM (slovima: sto trideset hiljada KM).</w:t>
      </w:r>
    </w:p>
    <w:p w14:paraId="3CD1B6C7" w14:textId="77777777" w:rsidR="00192D47" w:rsidRPr="00192D47" w:rsidRDefault="00192D47" w:rsidP="008760DE">
      <w:pPr>
        <w:jc w:val="both"/>
        <w:rPr>
          <w:rFonts w:eastAsiaTheme="minorEastAsia"/>
          <w:color w:val="000000" w:themeColor="text1"/>
        </w:rPr>
      </w:pPr>
    </w:p>
    <w:p w14:paraId="6D94FC12" w14:textId="77777777" w:rsidR="008760DE" w:rsidRPr="00192D47" w:rsidRDefault="008760DE" w:rsidP="008760DE">
      <w:pPr>
        <w:jc w:val="center"/>
        <w:rPr>
          <w:rFonts w:eastAsiaTheme="minorEastAsia"/>
          <w:b/>
          <w:bCs/>
          <w:color w:val="000000" w:themeColor="text1"/>
        </w:rPr>
      </w:pPr>
      <w:r w:rsidRPr="00192D47">
        <w:rPr>
          <w:rFonts w:eastAsiaTheme="minorEastAsia"/>
          <w:b/>
          <w:bCs/>
          <w:color w:val="000000" w:themeColor="text1"/>
        </w:rPr>
        <w:t>II</w:t>
      </w:r>
    </w:p>
    <w:p w14:paraId="0797226C" w14:textId="77777777" w:rsidR="008760DE" w:rsidRPr="00192D47" w:rsidRDefault="008760DE" w:rsidP="008760DE">
      <w:pPr>
        <w:jc w:val="center"/>
        <w:rPr>
          <w:rFonts w:eastAsiaTheme="minorEastAsia"/>
          <w:b/>
          <w:bCs/>
          <w:color w:val="000000" w:themeColor="text1"/>
        </w:rPr>
      </w:pPr>
    </w:p>
    <w:p w14:paraId="34C11150" w14:textId="78C524DD" w:rsidR="00192D47" w:rsidRDefault="00CC47FE" w:rsidP="008760DE">
      <w:pPr>
        <w:jc w:val="both"/>
        <w:rPr>
          <w:rFonts w:eastAsiaTheme="minorEastAsia"/>
          <w:bCs/>
          <w:color w:val="000000" w:themeColor="text1"/>
        </w:rPr>
      </w:pPr>
      <w:r w:rsidRPr="00CC47FE">
        <w:rPr>
          <w:rFonts w:eastAsiaTheme="minorEastAsia"/>
          <w:bCs/>
          <w:color w:val="000000" w:themeColor="text1"/>
        </w:rPr>
        <w:t>Pravo učešća i primanja</w:t>
      </w:r>
      <w:r w:rsidR="00811F2A">
        <w:rPr>
          <w:rFonts w:eastAsiaTheme="minorEastAsia"/>
          <w:bCs/>
          <w:color w:val="000000" w:themeColor="text1"/>
        </w:rPr>
        <w:t xml:space="preserve"> novčanih</w:t>
      </w:r>
      <w:r w:rsidRPr="00CC47FE">
        <w:rPr>
          <w:rFonts w:eastAsiaTheme="minorEastAsia"/>
          <w:bCs/>
          <w:color w:val="000000" w:themeColor="text1"/>
        </w:rPr>
        <w:t xml:space="preserve"> sredstava iz Budžeta HNK za 2025. godinu imaju ustanove, udruženja i vjerske zajednice, registrovane u skladu sa važećim propisima, u okviru kojih su organizovane javne kuhinje, čiji su programi usmjereni na poboljšanje kvaliteta usluga javnih kuhinja koje se pružaju socijalno ugroženim osobama tokom 2025. godine, a koje ispunjavaju kriterije utvrđene ovim Javnim pozivom.</w:t>
      </w:r>
    </w:p>
    <w:p w14:paraId="42102B61" w14:textId="77777777" w:rsidR="007143D7" w:rsidRPr="00192D47" w:rsidRDefault="007143D7" w:rsidP="008760DE">
      <w:pPr>
        <w:jc w:val="both"/>
        <w:rPr>
          <w:rFonts w:eastAsiaTheme="minorEastAsia"/>
          <w:bCs/>
          <w:color w:val="EE0000"/>
        </w:rPr>
      </w:pPr>
    </w:p>
    <w:p w14:paraId="5357E28E" w14:textId="77777777" w:rsidR="008760DE" w:rsidRPr="00192D47" w:rsidRDefault="008760DE" w:rsidP="008760DE">
      <w:pPr>
        <w:tabs>
          <w:tab w:val="left" w:pos="645"/>
        </w:tabs>
        <w:jc w:val="center"/>
        <w:rPr>
          <w:rFonts w:eastAsiaTheme="minorEastAsia"/>
          <w:b/>
          <w:bCs/>
          <w:color w:val="000000" w:themeColor="text1"/>
        </w:rPr>
      </w:pPr>
      <w:r w:rsidRPr="00192D47">
        <w:rPr>
          <w:rFonts w:eastAsiaTheme="minorEastAsia"/>
          <w:b/>
          <w:bCs/>
          <w:color w:val="000000" w:themeColor="text1"/>
        </w:rPr>
        <w:t>III</w:t>
      </w:r>
    </w:p>
    <w:p w14:paraId="6D9B4889" w14:textId="77777777" w:rsidR="008760DE" w:rsidRPr="00192D47" w:rsidRDefault="008760DE" w:rsidP="008760DE">
      <w:pPr>
        <w:tabs>
          <w:tab w:val="left" w:pos="645"/>
        </w:tabs>
        <w:jc w:val="center"/>
        <w:rPr>
          <w:rFonts w:eastAsiaTheme="minorEastAsia"/>
          <w:b/>
          <w:bCs/>
          <w:color w:val="000000" w:themeColor="text1"/>
        </w:rPr>
      </w:pPr>
    </w:p>
    <w:p w14:paraId="45867381" w14:textId="3217FA17" w:rsidR="00192D47" w:rsidRPr="00192D47" w:rsidRDefault="003E0541" w:rsidP="00192D47">
      <w:pPr>
        <w:tabs>
          <w:tab w:val="left" w:pos="645"/>
        </w:tabs>
        <w:jc w:val="both"/>
        <w:rPr>
          <w:rFonts w:eastAsiaTheme="minorEastAsia"/>
          <w:bCs/>
          <w:color w:val="000000" w:themeColor="text1"/>
        </w:rPr>
      </w:pPr>
      <w:r>
        <w:rPr>
          <w:rFonts w:eastAsiaTheme="minorEastAsia"/>
          <w:bCs/>
          <w:color w:val="000000" w:themeColor="text1"/>
        </w:rPr>
        <w:t>Novčana s</w:t>
      </w:r>
      <w:r w:rsidR="00192D47" w:rsidRPr="00192D47">
        <w:rPr>
          <w:rFonts w:eastAsiaTheme="minorEastAsia"/>
          <w:bCs/>
          <w:color w:val="000000" w:themeColor="text1"/>
        </w:rPr>
        <w:t>redstva iz tačke I Javnog poziva dodjeljuju se na osnovu sljedećih kriterija:</w:t>
      </w:r>
    </w:p>
    <w:p w14:paraId="5209F9BF" w14:textId="77777777" w:rsidR="00192D47" w:rsidRPr="00192D47" w:rsidRDefault="00192D47" w:rsidP="00192D47">
      <w:pPr>
        <w:tabs>
          <w:tab w:val="left" w:pos="645"/>
        </w:tabs>
        <w:jc w:val="both"/>
        <w:rPr>
          <w:rFonts w:eastAsiaTheme="minorEastAsia"/>
          <w:bCs/>
          <w:color w:val="000000" w:themeColor="text1"/>
        </w:rPr>
      </w:pPr>
    </w:p>
    <w:p w14:paraId="63BF0514"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1. institucije, udruženja i vjerske zajednice koje pružaju usluge javne kuhinje registrovane na</w:t>
      </w:r>
    </w:p>
    <w:p w14:paraId="3232B14D" w14:textId="198CE9CA"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području HNK,</w:t>
      </w:r>
    </w:p>
    <w:p w14:paraId="5DC89310" w14:textId="77777777" w:rsidR="00192D47" w:rsidRPr="00192D47" w:rsidRDefault="00192D47" w:rsidP="00192D47">
      <w:pPr>
        <w:tabs>
          <w:tab w:val="left" w:pos="645"/>
        </w:tabs>
        <w:jc w:val="both"/>
        <w:rPr>
          <w:rFonts w:eastAsiaTheme="minorEastAsia"/>
          <w:bCs/>
          <w:color w:val="000000" w:themeColor="text1"/>
        </w:rPr>
      </w:pPr>
    </w:p>
    <w:p w14:paraId="72BEC093"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2. povezanost programa rada u pružanju usluga javne kuhinje s propisom jedinice lokalne</w:t>
      </w:r>
    </w:p>
    <w:p w14:paraId="1AEEB998"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samouprave, kojim se utvrđuju uslovi i način ostvarivanja prava korištenja usluga javne kuhinje,</w:t>
      </w:r>
    </w:p>
    <w:p w14:paraId="5352CF2A" w14:textId="77777777" w:rsidR="00192D47" w:rsidRPr="00192D47" w:rsidRDefault="00192D47" w:rsidP="00192D47">
      <w:pPr>
        <w:tabs>
          <w:tab w:val="left" w:pos="645"/>
        </w:tabs>
        <w:jc w:val="both"/>
        <w:rPr>
          <w:rFonts w:eastAsiaTheme="minorEastAsia"/>
          <w:bCs/>
          <w:color w:val="000000" w:themeColor="text1"/>
        </w:rPr>
      </w:pPr>
    </w:p>
    <w:p w14:paraId="2AE25B05"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3. utvrđen broj korisnika usluga javne kuhinje u skladu s propisom o uslugama lokalne samouprave,</w:t>
      </w:r>
    </w:p>
    <w:p w14:paraId="48CAA3B6" w14:textId="77777777" w:rsidR="00192D47" w:rsidRPr="00192D47" w:rsidRDefault="00192D47" w:rsidP="00192D47">
      <w:pPr>
        <w:tabs>
          <w:tab w:val="left" w:pos="645"/>
        </w:tabs>
        <w:jc w:val="both"/>
        <w:rPr>
          <w:rFonts w:eastAsiaTheme="minorEastAsia"/>
          <w:bCs/>
          <w:color w:val="000000" w:themeColor="text1"/>
        </w:rPr>
      </w:pPr>
    </w:p>
    <w:p w14:paraId="20F74F3E"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4. ovjeren i potpisan popis korisnika po institucijama, udruženjima i vjerskim zajednicama u okviru kojih je organizirana javna kuhinja,</w:t>
      </w:r>
    </w:p>
    <w:p w14:paraId="4AA7B3FF" w14:textId="77777777" w:rsidR="00192D47" w:rsidRPr="00192D47" w:rsidRDefault="00192D47" w:rsidP="00192D47">
      <w:pPr>
        <w:tabs>
          <w:tab w:val="left" w:pos="645"/>
        </w:tabs>
        <w:jc w:val="both"/>
        <w:rPr>
          <w:rFonts w:eastAsiaTheme="minorEastAsia"/>
          <w:bCs/>
          <w:color w:val="000000" w:themeColor="text1"/>
        </w:rPr>
      </w:pPr>
    </w:p>
    <w:p w14:paraId="1EB11980" w14:textId="3D657FAE"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5. obrazložena potreba za</w:t>
      </w:r>
      <w:r w:rsidR="005E2567">
        <w:rPr>
          <w:rFonts w:eastAsiaTheme="minorEastAsia"/>
          <w:bCs/>
          <w:color w:val="000000" w:themeColor="text1"/>
        </w:rPr>
        <w:t xml:space="preserve"> novčanim</w:t>
      </w:r>
      <w:r w:rsidRPr="00192D47">
        <w:rPr>
          <w:rFonts w:eastAsiaTheme="minorEastAsia"/>
          <w:bCs/>
          <w:color w:val="000000" w:themeColor="text1"/>
        </w:rPr>
        <w:t xml:space="preserve"> sredstvima za realizaciju programa rada javne kuhinje,</w:t>
      </w:r>
    </w:p>
    <w:p w14:paraId="34A838B6" w14:textId="7AC56D69"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lastRenderedPageBreak/>
        <w:t xml:space="preserve">6. precizan iznos </w:t>
      </w:r>
      <w:r w:rsidR="005E2567">
        <w:rPr>
          <w:rFonts w:eastAsiaTheme="minorEastAsia"/>
          <w:bCs/>
          <w:color w:val="000000" w:themeColor="text1"/>
        </w:rPr>
        <w:t xml:space="preserve">novčanih </w:t>
      </w:r>
      <w:r w:rsidRPr="00192D47">
        <w:rPr>
          <w:rFonts w:eastAsiaTheme="minorEastAsia"/>
          <w:bCs/>
          <w:color w:val="000000" w:themeColor="text1"/>
        </w:rPr>
        <w:t>sredstava traženih od Ministarstva zdravstva, rada i socijalne zaštite i precizan iznos sredstava osiguranih iz drugih izvora za realizaciju programa rada javne kuhinje u 2025. godini (sredstva iz Budžeta Federacije BiH, sredstva iz Budžeta HNK, sredstva iz budžeta jedinice lokalne samouprave, lična sredstva, donatorska i druga sredstva),</w:t>
      </w:r>
    </w:p>
    <w:p w14:paraId="34947675" w14:textId="77777777" w:rsidR="00192D47" w:rsidRPr="00192D47" w:rsidRDefault="00192D47" w:rsidP="00192D47">
      <w:pPr>
        <w:tabs>
          <w:tab w:val="left" w:pos="645"/>
        </w:tabs>
        <w:jc w:val="both"/>
        <w:rPr>
          <w:rFonts w:eastAsiaTheme="minorEastAsia"/>
          <w:bCs/>
          <w:color w:val="000000" w:themeColor="text1"/>
        </w:rPr>
      </w:pPr>
    </w:p>
    <w:p w14:paraId="3E914643"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7. transparentnost i mogućnost kontrole postignutog kvaliteta usluga i uspjeha</w:t>
      </w:r>
    </w:p>
    <w:p w14:paraId="6641576C"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programa,</w:t>
      </w:r>
    </w:p>
    <w:p w14:paraId="73C3B754"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8. opravdano poboljšanje kvaliteta usluga javne kuhinje u odnosu na utvrđeni broj</w:t>
      </w:r>
    </w:p>
    <w:p w14:paraId="365CFD57" w14:textId="77777777" w:rsidR="00192D47"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njenih korisnika,</w:t>
      </w:r>
    </w:p>
    <w:p w14:paraId="7DB49AE0" w14:textId="32F16B57" w:rsidR="008760DE" w:rsidRPr="00192D47" w:rsidRDefault="00192D47" w:rsidP="00192D47">
      <w:pPr>
        <w:tabs>
          <w:tab w:val="left" w:pos="645"/>
        </w:tabs>
        <w:jc w:val="both"/>
        <w:rPr>
          <w:rFonts w:eastAsiaTheme="minorEastAsia"/>
          <w:bCs/>
          <w:color w:val="000000" w:themeColor="text1"/>
        </w:rPr>
      </w:pPr>
      <w:r w:rsidRPr="00192D47">
        <w:rPr>
          <w:rFonts w:eastAsiaTheme="minorEastAsia"/>
          <w:bCs/>
          <w:color w:val="000000" w:themeColor="text1"/>
        </w:rPr>
        <w:t xml:space="preserve">9. opravdana </w:t>
      </w:r>
      <w:r w:rsidR="005E2567">
        <w:rPr>
          <w:rFonts w:eastAsiaTheme="minorEastAsia"/>
          <w:bCs/>
          <w:color w:val="000000" w:themeColor="text1"/>
        </w:rPr>
        <w:t xml:space="preserve">novčana </w:t>
      </w:r>
      <w:r w:rsidRPr="00192D47">
        <w:rPr>
          <w:rFonts w:eastAsiaTheme="minorEastAsia"/>
          <w:bCs/>
          <w:color w:val="000000" w:themeColor="text1"/>
        </w:rPr>
        <w:t>sredstva koja je podnosiocu zahtjeva dodijelilo Ministarstvo zdravlja, rada i socijaln</w:t>
      </w:r>
      <w:r>
        <w:rPr>
          <w:rFonts w:eastAsiaTheme="minorEastAsia"/>
          <w:bCs/>
          <w:color w:val="000000" w:themeColor="text1"/>
        </w:rPr>
        <w:t>e</w:t>
      </w:r>
      <w:r w:rsidRPr="00192D47">
        <w:rPr>
          <w:rFonts w:eastAsiaTheme="minorEastAsia"/>
          <w:bCs/>
          <w:color w:val="000000" w:themeColor="text1"/>
        </w:rPr>
        <w:t xml:space="preserve"> </w:t>
      </w:r>
      <w:r>
        <w:rPr>
          <w:rFonts w:eastAsiaTheme="minorEastAsia"/>
          <w:bCs/>
          <w:color w:val="000000" w:themeColor="text1"/>
        </w:rPr>
        <w:t>zaštite</w:t>
      </w:r>
      <w:r w:rsidRPr="00192D47">
        <w:rPr>
          <w:rFonts w:eastAsiaTheme="minorEastAsia"/>
          <w:bCs/>
          <w:color w:val="000000" w:themeColor="text1"/>
        </w:rPr>
        <w:t xml:space="preserve"> po ovom osnovu u 2024. godini.</w:t>
      </w:r>
    </w:p>
    <w:p w14:paraId="14A67485" w14:textId="77777777" w:rsidR="008760DE" w:rsidRPr="00192D47" w:rsidRDefault="008760DE" w:rsidP="008B4F70">
      <w:pPr>
        <w:jc w:val="both"/>
        <w:rPr>
          <w:rFonts w:eastAsiaTheme="minorEastAsia"/>
          <w:b/>
          <w:color w:val="EE0000"/>
        </w:rPr>
      </w:pPr>
    </w:p>
    <w:p w14:paraId="50D0DBF8" w14:textId="77777777" w:rsidR="008760DE" w:rsidRPr="00192D47" w:rsidRDefault="008760DE" w:rsidP="008760DE">
      <w:pPr>
        <w:jc w:val="center"/>
        <w:rPr>
          <w:rFonts w:eastAsiaTheme="minorEastAsia"/>
          <w:b/>
          <w:color w:val="000000" w:themeColor="text1"/>
        </w:rPr>
      </w:pPr>
      <w:r w:rsidRPr="00192D47">
        <w:rPr>
          <w:rFonts w:eastAsiaTheme="minorEastAsia"/>
          <w:b/>
          <w:color w:val="000000" w:themeColor="text1"/>
        </w:rPr>
        <w:t>IV</w:t>
      </w:r>
    </w:p>
    <w:p w14:paraId="7793A822" w14:textId="77777777" w:rsidR="008760DE" w:rsidRPr="00192D47" w:rsidRDefault="008760DE" w:rsidP="008760DE">
      <w:pPr>
        <w:jc w:val="center"/>
        <w:rPr>
          <w:rFonts w:eastAsiaTheme="minorEastAsia"/>
          <w:b/>
          <w:color w:val="000000" w:themeColor="text1"/>
        </w:rPr>
      </w:pPr>
    </w:p>
    <w:p w14:paraId="0EF75DC6" w14:textId="3395F293" w:rsidR="00192D47" w:rsidRPr="00192D47" w:rsidRDefault="00192D47" w:rsidP="00192D47">
      <w:pPr>
        <w:jc w:val="both"/>
        <w:rPr>
          <w:rFonts w:eastAsiaTheme="minorEastAsia"/>
          <w:color w:val="000000" w:themeColor="text1"/>
        </w:rPr>
      </w:pPr>
      <w:bookmarkStart w:id="0" w:name="_Hlk112172399"/>
      <w:r w:rsidRPr="00192D47">
        <w:rPr>
          <w:rFonts w:eastAsiaTheme="minorEastAsia"/>
          <w:color w:val="000000" w:themeColor="text1"/>
        </w:rPr>
        <w:t xml:space="preserve">Zahtjev se podnosi Ministarstvu zdravstva, rada i socijalne </w:t>
      </w:r>
      <w:r>
        <w:rPr>
          <w:rFonts w:eastAsiaTheme="minorEastAsia"/>
          <w:color w:val="000000" w:themeColor="text1"/>
        </w:rPr>
        <w:t>zaštite</w:t>
      </w:r>
      <w:r w:rsidRPr="00192D47">
        <w:rPr>
          <w:rFonts w:eastAsiaTheme="minorEastAsia"/>
          <w:color w:val="000000" w:themeColor="text1"/>
        </w:rPr>
        <w:t xml:space="preserve"> na obrascu zahtjeva, koji se može preuzeti s web stranice Vlade HNK i web stranice Ministarstva. Uz čitko popunjen, potpisan i ovjeren obrazac zahtjeva, obavezno je dostaviti sljedeću dokumentaciju:</w:t>
      </w:r>
    </w:p>
    <w:p w14:paraId="42D51E5D" w14:textId="77777777" w:rsidR="00192D47" w:rsidRPr="00192D47" w:rsidRDefault="00192D47" w:rsidP="00192D47">
      <w:pPr>
        <w:jc w:val="both"/>
        <w:rPr>
          <w:rFonts w:eastAsiaTheme="minorEastAsia"/>
          <w:color w:val="000000" w:themeColor="text1"/>
        </w:rPr>
      </w:pPr>
    </w:p>
    <w:p w14:paraId="04FAC0C9" w14:textId="7EB16A71"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rješenje o registraciji i eventualne izmjene,</w:t>
      </w:r>
    </w:p>
    <w:p w14:paraId="22C2A12F" w14:textId="1931C5AA"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potvrdu o poreznoj registraciji (ID broj),</w:t>
      </w:r>
    </w:p>
    <w:p w14:paraId="1FAE4A77" w14:textId="5D219505"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potvrdu banke ili ugovor s bankom iz kojeg je vidljiv broj transakcijskog računa podnosioca zahtjeva, ne stariji od tri mjeseca,</w:t>
      </w:r>
    </w:p>
    <w:p w14:paraId="7C6B6828" w14:textId="11D0D6DE"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ime, prezime i kontakt osobe odgovorne za provođenje programa rada javne kuhinje,</w:t>
      </w:r>
    </w:p>
    <w:p w14:paraId="3F87B7D3" w14:textId="675EB1C1"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 xml:space="preserve">navedeni iznos traženih sredstava od Ministarstva zdravstva, rada i socijalne </w:t>
      </w:r>
      <w:r>
        <w:rPr>
          <w:rFonts w:eastAsiaTheme="minorEastAsia"/>
          <w:color w:val="000000" w:themeColor="text1"/>
        </w:rPr>
        <w:t>zaštite</w:t>
      </w:r>
      <w:r w:rsidRPr="00192D47">
        <w:rPr>
          <w:rFonts w:eastAsiaTheme="minorEastAsia"/>
          <w:color w:val="000000" w:themeColor="text1"/>
        </w:rPr>
        <w:t xml:space="preserve"> i navedeni iznos sredstava osiguranih iz drugih izvora za provođenje programa javnih radova javnih kuhinja u 2025. godini (sredstva iz Budžeta Federacije BiH, sredstva iz Budžeta HNK, sredstva iz budžeta jedinice lokalne samouprave, lična sredstva, donatorska i druga sredstva),</w:t>
      </w:r>
    </w:p>
    <w:p w14:paraId="54A3E5B4" w14:textId="302A89EC"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program rada javne kuhinje za 2025. godinu s obrazloženjem potrebe za sredstvima za provođenje programa, vezano za poboljšanje kvalitete usluga u odnosu na utvrđeni broj korisnika usluga,</w:t>
      </w:r>
    </w:p>
    <w:p w14:paraId="2EB0123E" w14:textId="52A21D97"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odluke nadležnih centara za socijalni rad rad/općinska i gradska služba o priznavanju korištenja usluga javne kuhinje za sve korisnike ili ovjeren i potpisan popis korisnika od strane institucija, udruženja i vjerskih zajednica u okviru kojih je organizirana javna kuhinja,</w:t>
      </w:r>
    </w:p>
    <w:p w14:paraId="33B8A4EC" w14:textId="731DE51A"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dokaz o završenim projektima iz prethodnog perioda vezanim za rad javne kuhinje,</w:t>
      </w:r>
    </w:p>
    <w:p w14:paraId="4D9BC7C0" w14:textId="769C2ADD"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bilans stanja i bilans uspjeha ili račun prihoda i rashoda za 2024. godinu, sa vidljivim pečatom računovodstvene agencije, a podnosioci zahtjeva koji su registrovani manje od godinu dana mogu dostaviti i potvrdu sa pečatom računovodstvene agencije da nije bilo promjena na računu,</w:t>
      </w:r>
    </w:p>
    <w:p w14:paraId="6C4AFEAB" w14:textId="5C499FC9" w:rsidR="00192D47" w:rsidRPr="00192D47" w:rsidRDefault="00192D47" w:rsidP="00192D47">
      <w:pPr>
        <w:pStyle w:val="ListParagraph"/>
        <w:numPr>
          <w:ilvl w:val="0"/>
          <w:numId w:val="5"/>
        </w:numPr>
        <w:jc w:val="both"/>
        <w:rPr>
          <w:rFonts w:eastAsiaTheme="minorEastAsia"/>
          <w:color w:val="000000" w:themeColor="text1"/>
        </w:rPr>
      </w:pPr>
      <w:r w:rsidRPr="00192D47">
        <w:rPr>
          <w:rFonts w:eastAsiaTheme="minorEastAsia"/>
          <w:color w:val="000000" w:themeColor="text1"/>
        </w:rPr>
        <w:t>dokaz o uplati poreza i doprinosa izdat od strane nadležnih institucija,</w:t>
      </w:r>
    </w:p>
    <w:p w14:paraId="47CC4667" w14:textId="6921D46D" w:rsidR="008760DE" w:rsidRPr="00192D47" w:rsidRDefault="00192D47" w:rsidP="00192D47">
      <w:pPr>
        <w:pStyle w:val="ListParagraph"/>
        <w:numPr>
          <w:ilvl w:val="0"/>
          <w:numId w:val="5"/>
        </w:numPr>
        <w:jc w:val="both"/>
        <w:rPr>
          <w:rFonts w:eastAsiaTheme="minorEastAsia"/>
          <w:b/>
          <w:color w:val="000000" w:themeColor="text1"/>
        </w:rPr>
      </w:pPr>
      <w:r w:rsidRPr="00192D47">
        <w:rPr>
          <w:rFonts w:eastAsiaTheme="minorEastAsia"/>
          <w:color w:val="000000" w:themeColor="text1"/>
        </w:rPr>
        <w:t>izvještaj o utrošku sredstava dodijeljenih od strane Ministarstva zdravstva, rada i socijalne zaštite u 2024. godini (ako nije prethodno dostavljen).</w:t>
      </w:r>
    </w:p>
    <w:p w14:paraId="47347C1F" w14:textId="77777777" w:rsidR="00192D47" w:rsidRPr="00192D47" w:rsidRDefault="00192D47" w:rsidP="00C91FEA">
      <w:pPr>
        <w:jc w:val="both"/>
        <w:rPr>
          <w:b/>
          <w:color w:val="000000" w:themeColor="text1"/>
        </w:rPr>
      </w:pPr>
    </w:p>
    <w:p w14:paraId="359F8F44" w14:textId="77777777" w:rsidR="00192D47" w:rsidRDefault="00192D47" w:rsidP="00C91FEA">
      <w:pPr>
        <w:jc w:val="both"/>
        <w:rPr>
          <w:b/>
          <w:color w:val="EE0000"/>
        </w:rPr>
      </w:pPr>
    </w:p>
    <w:p w14:paraId="7455D182" w14:textId="77777777" w:rsidR="00192D47" w:rsidRPr="00192D47" w:rsidRDefault="00192D47" w:rsidP="00192D47">
      <w:pPr>
        <w:jc w:val="both"/>
        <w:rPr>
          <w:b/>
          <w:color w:val="000000" w:themeColor="text1"/>
        </w:rPr>
      </w:pPr>
      <w:r w:rsidRPr="00192D47">
        <w:rPr>
          <w:b/>
          <w:color w:val="000000" w:themeColor="text1"/>
        </w:rPr>
        <w:t>Tražena dokumentacija mora biti original ili kopija ovjerena od strane nadležnog organa.</w:t>
      </w:r>
    </w:p>
    <w:p w14:paraId="1B536044" w14:textId="77777777" w:rsidR="00192D47" w:rsidRPr="00192D47" w:rsidRDefault="00192D47" w:rsidP="00192D47">
      <w:pPr>
        <w:jc w:val="both"/>
        <w:rPr>
          <w:bCs/>
          <w:color w:val="000000" w:themeColor="text1"/>
        </w:rPr>
      </w:pPr>
      <w:r w:rsidRPr="00192D47">
        <w:rPr>
          <w:bCs/>
          <w:color w:val="000000" w:themeColor="text1"/>
        </w:rPr>
        <w:t>Ministarstvo nije obavezno vratiti dostavljenu dokumentaciju podnosiocima zahtjeva.</w:t>
      </w:r>
    </w:p>
    <w:p w14:paraId="545DE2C6" w14:textId="68A0C3E1" w:rsidR="00C91FEA" w:rsidRPr="00192D47" w:rsidRDefault="00192D47" w:rsidP="00192D47">
      <w:pPr>
        <w:jc w:val="both"/>
        <w:rPr>
          <w:bCs/>
          <w:color w:val="000000" w:themeColor="text1"/>
        </w:rPr>
      </w:pPr>
      <w:r w:rsidRPr="00192D47">
        <w:rPr>
          <w:bCs/>
          <w:color w:val="000000" w:themeColor="text1"/>
        </w:rPr>
        <w:lastRenderedPageBreak/>
        <w:t>Prijave na Javni poziv neće se razmatrati ako nisu podnesene na vrijeme i ako nedostaju formalni uslovi za prijavu na program (nepotpuna i netačna dokumentacija).</w:t>
      </w:r>
    </w:p>
    <w:p w14:paraId="7D407443" w14:textId="77777777" w:rsidR="00C91FEA" w:rsidRPr="00192D47" w:rsidRDefault="00C91FEA" w:rsidP="00C91FEA">
      <w:pPr>
        <w:jc w:val="both"/>
        <w:rPr>
          <w:rFonts w:eastAsiaTheme="minorEastAsia"/>
          <w:b/>
          <w:color w:val="000000" w:themeColor="text1"/>
        </w:rPr>
      </w:pPr>
    </w:p>
    <w:bookmarkEnd w:id="0"/>
    <w:p w14:paraId="0F051F02" w14:textId="77777777" w:rsidR="008760DE" w:rsidRPr="00192D47" w:rsidRDefault="008760DE" w:rsidP="008760DE">
      <w:pPr>
        <w:jc w:val="center"/>
        <w:rPr>
          <w:rFonts w:eastAsiaTheme="minorEastAsia"/>
          <w:b/>
          <w:color w:val="000000" w:themeColor="text1"/>
        </w:rPr>
      </w:pPr>
      <w:r w:rsidRPr="00192D47">
        <w:rPr>
          <w:rFonts w:eastAsiaTheme="minorEastAsia"/>
          <w:b/>
          <w:color w:val="000000" w:themeColor="text1"/>
        </w:rPr>
        <w:t>V</w:t>
      </w:r>
    </w:p>
    <w:p w14:paraId="52833FD5" w14:textId="77777777" w:rsidR="008760DE" w:rsidRPr="00192D47" w:rsidRDefault="008760DE" w:rsidP="008760DE">
      <w:pPr>
        <w:jc w:val="center"/>
        <w:rPr>
          <w:rFonts w:eastAsiaTheme="minorEastAsia"/>
          <w:color w:val="000000" w:themeColor="text1"/>
        </w:rPr>
      </w:pPr>
    </w:p>
    <w:p w14:paraId="1A07C207" w14:textId="4C48404E" w:rsidR="00192D47" w:rsidRPr="00192D47" w:rsidRDefault="00192D47" w:rsidP="00192D47">
      <w:pPr>
        <w:tabs>
          <w:tab w:val="left" w:pos="1410"/>
        </w:tabs>
        <w:rPr>
          <w:rFonts w:eastAsiaTheme="minorEastAsia"/>
          <w:color w:val="000000" w:themeColor="text1"/>
        </w:rPr>
      </w:pPr>
      <w:r w:rsidRPr="00192D47">
        <w:rPr>
          <w:rFonts w:eastAsiaTheme="minorEastAsia"/>
          <w:color w:val="000000" w:themeColor="text1"/>
        </w:rPr>
        <w:t xml:space="preserve">Odabir podnositelja zahtjeva za sufinansiranje programa rada javnih kuhinja na temelju ovog Javnog poziva provest će Komisija koju imenuje ministar zdravstva, rada i socijalne </w:t>
      </w:r>
      <w:r>
        <w:rPr>
          <w:rFonts w:eastAsiaTheme="minorEastAsia"/>
          <w:color w:val="000000" w:themeColor="text1"/>
        </w:rPr>
        <w:t>zaštite</w:t>
      </w:r>
      <w:r w:rsidRPr="00192D47">
        <w:rPr>
          <w:rFonts w:eastAsiaTheme="minorEastAsia"/>
          <w:color w:val="000000" w:themeColor="text1"/>
        </w:rPr>
        <w:t>.</w:t>
      </w:r>
    </w:p>
    <w:p w14:paraId="36AB554B" w14:textId="6A0A257A" w:rsidR="00192D47" w:rsidRPr="00192D47" w:rsidRDefault="00192D47" w:rsidP="00192D47">
      <w:pPr>
        <w:tabs>
          <w:tab w:val="left" w:pos="1410"/>
        </w:tabs>
        <w:rPr>
          <w:rFonts w:eastAsiaTheme="minorEastAsia"/>
          <w:color w:val="000000" w:themeColor="text1"/>
        </w:rPr>
      </w:pPr>
      <w:r w:rsidRPr="00192D47">
        <w:rPr>
          <w:rFonts w:eastAsiaTheme="minorEastAsia"/>
          <w:color w:val="000000" w:themeColor="text1"/>
        </w:rPr>
        <w:t xml:space="preserve">Komisija razmatra prijave i dokumentaciju pristiglu na temelju Javnog poziva, ocjenjuje ispunjenost uvjeta i kriterija za odobravanje sredstava, sastavlja izvještaj s obrazloženim prijedlogom odabranih programa za sufinansiranje, koji dostavlja ministru zdravstva, rada i socijalne </w:t>
      </w:r>
      <w:r>
        <w:rPr>
          <w:rFonts w:eastAsiaTheme="minorEastAsia"/>
          <w:color w:val="000000" w:themeColor="text1"/>
        </w:rPr>
        <w:t>zaštite</w:t>
      </w:r>
      <w:r w:rsidRPr="00192D47">
        <w:rPr>
          <w:rFonts w:eastAsiaTheme="minorEastAsia"/>
          <w:color w:val="000000" w:themeColor="text1"/>
        </w:rPr>
        <w:t>.</w:t>
      </w:r>
    </w:p>
    <w:p w14:paraId="65F3F469" w14:textId="2DA1B993" w:rsidR="00192D47" w:rsidRPr="00192D47" w:rsidRDefault="00192D47" w:rsidP="00192D47">
      <w:pPr>
        <w:tabs>
          <w:tab w:val="left" w:pos="1410"/>
        </w:tabs>
        <w:rPr>
          <w:rFonts w:eastAsiaTheme="minorEastAsia"/>
          <w:color w:val="000000" w:themeColor="text1"/>
        </w:rPr>
      </w:pPr>
      <w:r w:rsidRPr="00192D47">
        <w:rPr>
          <w:rFonts w:eastAsiaTheme="minorEastAsia"/>
          <w:color w:val="000000" w:themeColor="text1"/>
        </w:rPr>
        <w:t xml:space="preserve">Odluku o odabiru prijava i raspodjeli sredstava ustanovama, udruženjima i vjerskim zajednicama, u okviru kojih je organizirana javna kuhinja, planiranim u Budžetu HNK za 2025. godinu za Ministarstvo zdravstva, rada i socijalne </w:t>
      </w:r>
      <w:r>
        <w:rPr>
          <w:rFonts w:eastAsiaTheme="minorEastAsia"/>
          <w:color w:val="000000" w:themeColor="text1"/>
        </w:rPr>
        <w:t>zaštite</w:t>
      </w:r>
      <w:r w:rsidRPr="00192D47">
        <w:rPr>
          <w:rFonts w:eastAsiaTheme="minorEastAsia"/>
          <w:color w:val="000000" w:themeColor="text1"/>
        </w:rPr>
        <w:t xml:space="preserve"> sa stavke "Grant javnim kuhinjama", donijet će Vlada HNK na prijedlog Ministarstva zdravstva, rada i socijalne </w:t>
      </w:r>
      <w:r>
        <w:rPr>
          <w:rFonts w:eastAsiaTheme="minorEastAsia"/>
          <w:color w:val="000000" w:themeColor="text1"/>
        </w:rPr>
        <w:t>zaštite</w:t>
      </w:r>
      <w:r w:rsidRPr="00192D47">
        <w:rPr>
          <w:rFonts w:eastAsiaTheme="minorEastAsia"/>
          <w:color w:val="000000" w:themeColor="text1"/>
        </w:rPr>
        <w:t>.</w:t>
      </w:r>
    </w:p>
    <w:p w14:paraId="5AF45C00" w14:textId="77777777" w:rsidR="00192D47" w:rsidRPr="00192D47" w:rsidRDefault="00192D47" w:rsidP="00192D47">
      <w:pPr>
        <w:tabs>
          <w:tab w:val="left" w:pos="1410"/>
        </w:tabs>
        <w:rPr>
          <w:rFonts w:eastAsiaTheme="minorEastAsia"/>
          <w:color w:val="000000" w:themeColor="text1"/>
        </w:rPr>
      </w:pPr>
    </w:p>
    <w:p w14:paraId="47130A9C" w14:textId="74F0B0A7" w:rsidR="0042002E" w:rsidRPr="00192D47" w:rsidRDefault="00192D47" w:rsidP="00192D47">
      <w:pPr>
        <w:tabs>
          <w:tab w:val="left" w:pos="1410"/>
        </w:tabs>
        <w:rPr>
          <w:rFonts w:eastAsiaTheme="minorEastAsia"/>
          <w:color w:val="000000" w:themeColor="text1"/>
        </w:rPr>
      </w:pPr>
      <w:r w:rsidRPr="00192D47">
        <w:rPr>
          <w:rFonts w:eastAsiaTheme="minorEastAsia"/>
          <w:color w:val="000000" w:themeColor="text1"/>
        </w:rPr>
        <w:t xml:space="preserve">Javni poziv objavljuje se na web stranici Vlade HNK: www.vlada-hnz-k.ba i web stranici Ministarstva zdravstva, rada i socijalne </w:t>
      </w:r>
      <w:r>
        <w:rPr>
          <w:rFonts w:eastAsiaTheme="minorEastAsia"/>
          <w:color w:val="000000" w:themeColor="text1"/>
        </w:rPr>
        <w:t>zaštite</w:t>
      </w:r>
      <w:r w:rsidRPr="00192D47">
        <w:rPr>
          <w:rFonts w:eastAsiaTheme="minorEastAsia"/>
          <w:color w:val="000000" w:themeColor="text1"/>
        </w:rPr>
        <w:t>: www.mzrss-hnz-k.ba, a obavještenje o javnom pozivu objavljuje se u Večernjem listu i Dnevnom avazu.</w:t>
      </w:r>
    </w:p>
    <w:p w14:paraId="5E4979A7" w14:textId="77777777" w:rsidR="00192D47" w:rsidRPr="00192D47" w:rsidRDefault="00192D47" w:rsidP="00192D47">
      <w:pPr>
        <w:tabs>
          <w:tab w:val="left" w:pos="1410"/>
        </w:tabs>
        <w:rPr>
          <w:rFonts w:eastAsiaTheme="minorEastAsia"/>
          <w:bCs/>
          <w:color w:val="000000" w:themeColor="text1"/>
        </w:rPr>
      </w:pPr>
    </w:p>
    <w:p w14:paraId="7F59705E" w14:textId="6CC75D9F" w:rsidR="00192D47" w:rsidRPr="00192D47" w:rsidRDefault="00192D47" w:rsidP="00C91FEA">
      <w:pPr>
        <w:tabs>
          <w:tab w:val="left" w:pos="195"/>
          <w:tab w:val="left" w:pos="3870"/>
        </w:tabs>
        <w:spacing w:after="240" w:line="276" w:lineRule="auto"/>
        <w:jc w:val="both"/>
        <w:rPr>
          <w:b/>
          <w:color w:val="000000" w:themeColor="text1"/>
        </w:rPr>
      </w:pPr>
      <w:r w:rsidRPr="00192D47">
        <w:rPr>
          <w:b/>
          <w:color w:val="000000" w:themeColor="text1"/>
        </w:rPr>
        <w:t xml:space="preserve">Javni poziv ostaje otvoren 15 (petnaest) dana od dana objave na web stranici Vlade HNK i web stranici Ministarstva zdravstva, rada i socijalne </w:t>
      </w:r>
      <w:r>
        <w:rPr>
          <w:b/>
          <w:color w:val="000000" w:themeColor="text1"/>
        </w:rPr>
        <w:t>zaštite</w:t>
      </w:r>
      <w:r w:rsidRPr="00192D47">
        <w:rPr>
          <w:b/>
          <w:color w:val="000000" w:themeColor="text1"/>
        </w:rPr>
        <w:t xml:space="preserve"> HNK.</w:t>
      </w:r>
    </w:p>
    <w:p w14:paraId="0C7B181C" w14:textId="39242463" w:rsidR="008760DE" w:rsidRPr="00192D47" w:rsidRDefault="00192D47" w:rsidP="008760DE">
      <w:pPr>
        <w:jc w:val="both"/>
        <w:rPr>
          <w:rFonts w:eastAsiaTheme="minorEastAsia"/>
          <w:color w:val="000000" w:themeColor="text1"/>
        </w:rPr>
      </w:pPr>
      <w:r w:rsidRPr="00192D47">
        <w:rPr>
          <w:rFonts w:eastAsiaTheme="minorEastAsia"/>
          <w:color w:val="000000" w:themeColor="text1"/>
        </w:rPr>
        <w:t>Prijave, u zatvorenim kovertama, podnose se poštom ili se lično dostavljaju u kancelariju Ministarstva na adresu:</w:t>
      </w:r>
    </w:p>
    <w:p w14:paraId="744E93DD" w14:textId="77777777" w:rsidR="00192D47" w:rsidRPr="00192D47" w:rsidRDefault="00192D47" w:rsidP="008760DE">
      <w:pPr>
        <w:jc w:val="both"/>
        <w:rPr>
          <w:rFonts w:eastAsiaTheme="minorEastAsia"/>
          <w:color w:val="000000" w:themeColor="text1"/>
        </w:rPr>
      </w:pPr>
    </w:p>
    <w:p w14:paraId="69589195" w14:textId="2A08C9A8" w:rsidR="008760DE" w:rsidRPr="00192D47" w:rsidRDefault="008760DE" w:rsidP="008760DE">
      <w:pPr>
        <w:rPr>
          <w:rFonts w:eastAsiaTheme="minorEastAsia"/>
          <w:b/>
          <w:color w:val="000000" w:themeColor="text1"/>
        </w:rPr>
      </w:pPr>
      <w:r w:rsidRPr="00192D47">
        <w:rPr>
          <w:rFonts w:eastAsiaTheme="minorEastAsia"/>
          <w:color w:val="000000" w:themeColor="text1"/>
        </w:rPr>
        <w:t xml:space="preserve">                  </w:t>
      </w:r>
      <w:r w:rsidRPr="00192D47">
        <w:rPr>
          <w:rFonts w:eastAsiaTheme="minorEastAsia"/>
          <w:b/>
          <w:color w:val="000000" w:themeColor="text1"/>
        </w:rPr>
        <w:t xml:space="preserve">MINISTARSTVO ZDRAVSTVA, RADA I SOCIJALNE </w:t>
      </w:r>
      <w:r w:rsidR="00192D47" w:rsidRPr="00192D47">
        <w:rPr>
          <w:rFonts w:eastAsiaTheme="minorEastAsia"/>
          <w:b/>
          <w:color w:val="000000" w:themeColor="text1"/>
        </w:rPr>
        <w:t>ZAŠTITE</w:t>
      </w:r>
    </w:p>
    <w:p w14:paraId="05D5EFCD" w14:textId="77777777" w:rsidR="008760DE" w:rsidRPr="00192D47" w:rsidRDefault="008760DE" w:rsidP="008760DE">
      <w:pPr>
        <w:jc w:val="center"/>
        <w:rPr>
          <w:rFonts w:eastAsiaTheme="minorEastAsia"/>
          <w:b/>
          <w:color w:val="000000" w:themeColor="text1"/>
        </w:rPr>
      </w:pPr>
      <w:r w:rsidRPr="00192D47">
        <w:rPr>
          <w:rFonts w:eastAsiaTheme="minorEastAsia"/>
          <w:b/>
          <w:color w:val="000000" w:themeColor="text1"/>
        </w:rPr>
        <w:t>HERCEGOVAČKO-NERETVANSKE ŽUPANIJE-KANTONA</w:t>
      </w:r>
    </w:p>
    <w:p w14:paraId="1A82AF0B" w14:textId="043CC138" w:rsidR="00192D47" w:rsidRPr="00192D47" w:rsidRDefault="008760DE" w:rsidP="00192D47">
      <w:pPr>
        <w:tabs>
          <w:tab w:val="left" w:pos="1410"/>
        </w:tabs>
        <w:jc w:val="center"/>
        <w:rPr>
          <w:rFonts w:eastAsiaTheme="minorEastAsia"/>
          <w:b/>
          <w:color w:val="000000" w:themeColor="text1"/>
        </w:rPr>
      </w:pPr>
      <w:r w:rsidRPr="00192D47">
        <w:rPr>
          <w:rFonts w:eastAsiaTheme="minorEastAsia"/>
          <w:b/>
          <w:color w:val="000000" w:themeColor="text1"/>
        </w:rPr>
        <w:t>„</w:t>
      </w:r>
      <w:r w:rsidR="00192D47" w:rsidRPr="00192D47">
        <w:rPr>
          <w:rFonts w:eastAsiaTheme="minorEastAsia"/>
          <w:b/>
          <w:color w:val="000000" w:themeColor="text1"/>
        </w:rPr>
        <w:t xml:space="preserve">Za prikupljanje zahtjeva od institucija, udruženja i vjerskih zajednica </w:t>
      </w:r>
    </w:p>
    <w:p w14:paraId="7B5D49CF" w14:textId="22820A4C" w:rsidR="008760DE" w:rsidRPr="00192D47" w:rsidRDefault="00192D47" w:rsidP="00192D47">
      <w:pPr>
        <w:tabs>
          <w:tab w:val="left" w:pos="1410"/>
        </w:tabs>
        <w:jc w:val="center"/>
        <w:rPr>
          <w:rFonts w:eastAsiaTheme="minorEastAsia"/>
          <w:b/>
          <w:bCs/>
          <w:color w:val="000000" w:themeColor="text1"/>
        </w:rPr>
      </w:pPr>
      <w:r w:rsidRPr="00192D47">
        <w:rPr>
          <w:rFonts w:eastAsiaTheme="minorEastAsia"/>
          <w:b/>
          <w:color w:val="000000" w:themeColor="text1"/>
        </w:rPr>
        <w:t xml:space="preserve">s područja HNK </w:t>
      </w:r>
      <w:r w:rsidR="008760DE" w:rsidRPr="00192D47">
        <w:rPr>
          <w:rFonts w:eastAsiaTheme="minorEastAsia"/>
          <w:b/>
          <w:bCs/>
          <w:color w:val="000000" w:themeColor="text1"/>
        </w:rPr>
        <w:t>u sklopu kojih je organizirana javna kuhinja“</w:t>
      </w:r>
    </w:p>
    <w:p w14:paraId="44E58F32" w14:textId="77777777" w:rsidR="008760DE" w:rsidRPr="00192D47" w:rsidRDefault="008760DE" w:rsidP="008760DE">
      <w:pPr>
        <w:tabs>
          <w:tab w:val="left" w:pos="1410"/>
        </w:tabs>
        <w:jc w:val="center"/>
        <w:rPr>
          <w:rFonts w:eastAsiaTheme="minorEastAsia"/>
          <w:b/>
          <w:bCs/>
          <w:color w:val="000000" w:themeColor="text1"/>
        </w:rPr>
      </w:pPr>
      <w:r w:rsidRPr="00192D47">
        <w:rPr>
          <w:rFonts w:eastAsiaTheme="minorEastAsia"/>
          <w:b/>
          <w:bCs/>
          <w:color w:val="000000" w:themeColor="text1"/>
        </w:rPr>
        <w:t>Stjepana Radića br. 3, 88000 Mostar</w:t>
      </w:r>
    </w:p>
    <w:p w14:paraId="35B35AE4" w14:textId="77777777" w:rsidR="008760DE" w:rsidRPr="00192D47" w:rsidRDefault="008760DE" w:rsidP="008760DE">
      <w:pPr>
        <w:tabs>
          <w:tab w:val="left" w:pos="1410"/>
        </w:tabs>
        <w:jc w:val="center"/>
        <w:rPr>
          <w:rFonts w:eastAsiaTheme="minorEastAsia"/>
          <w:bCs/>
          <w:color w:val="000000" w:themeColor="text1"/>
        </w:rPr>
      </w:pPr>
      <w:r w:rsidRPr="00192D47">
        <w:rPr>
          <w:rFonts w:eastAsiaTheme="minorEastAsia"/>
          <w:bCs/>
          <w:color w:val="000000" w:themeColor="text1"/>
        </w:rPr>
        <w:t>s naznakom :</w:t>
      </w:r>
    </w:p>
    <w:p w14:paraId="3CB29B9E" w14:textId="77777777" w:rsidR="008760DE" w:rsidRPr="00192D47" w:rsidRDefault="008760DE" w:rsidP="008760DE">
      <w:pPr>
        <w:tabs>
          <w:tab w:val="left" w:pos="1410"/>
        </w:tabs>
        <w:jc w:val="center"/>
        <w:rPr>
          <w:rFonts w:eastAsiaTheme="minorEastAsia"/>
          <w:bCs/>
          <w:color w:val="000000" w:themeColor="text1"/>
        </w:rPr>
      </w:pPr>
      <w:r w:rsidRPr="00192D47">
        <w:rPr>
          <w:rFonts w:eastAsiaTheme="minorEastAsia"/>
          <w:bCs/>
          <w:color w:val="000000" w:themeColor="text1"/>
        </w:rPr>
        <w:t>NE OTVARAJ</w:t>
      </w:r>
    </w:p>
    <w:p w14:paraId="2B08DE7B" w14:textId="77777777" w:rsidR="008760DE" w:rsidRPr="00192D47" w:rsidRDefault="008760DE" w:rsidP="008760DE">
      <w:pPr>
        <w:tabs>
          <w:tab w:val="left" w:pos="1410"/>
        </w:tabs>
        <w:jc w:val="center"/>
        <w:rPr>
          <w:rFonts w:eastAsiaTheme="minorEastAsia"/>
          <w:bCs/>
          <w:color w:val="EE0000"/>
        </w:rPr>
      </w:pPr>
    </w:p>
    <w:p w14:paraId="0E4BE59C" w14:textId="77777777" w:rsidR="008760DE" w:rsidRPr="00192D47" w:rsidRDefault="008760DE" w:rsidP="008760DE">
      <w:pPr>
        <w:jc w:val="both"/>
        <w:rPr>
          <w:rFonts w:eastAsiaTheme="minorEastAsia"/>
          <w:color w:val="EE0000"/>
        </w:rPr>
      </w:pPr>
    </w:p>
    <w:p w14:paraId="6D1B5F8D" w14:textId="77777777" w:rsidR="008C4E54" w:rsidRPr="00192D47" w:rsidRDefault="008C4E54">
      <w:pPr>
        <w:rPr>
          <w:color w:val="EE0000"/>
        </w:rPr>
      </w:pPr>
    </w:p>
    <w:sectPr w:rsidR="008C4E54" w:rsidRPr="00192D47" w:rsidSect="0007371C">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550A"/>
    <w:multiLevelType w:val="hybridMultilevel"/>
    <w:tmpl w:val="3F7CE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0D3122"/>
    <w:multiLevelType w:val="hybridMultilevel"/>
    <w:tmpl w:val="004E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252A6"/>
    <w:multiLevelType w:val="hybridMultilevel"/>
    <w:tmpl w:val="4C5E3C9A"/>
    <w:lvl w:ilvl="0" w:tplc="2F36852E">
      <w:start w:val="1"/>
      <w:numFmt w:val="decimal"/>
      <w:lvlText w:val="%1."/>
      <w:lvlJc w:val="left"/>
      <w:pPr>
        <w:ind w:left="720" w:hanging="360"/>
      </w:pPr>
      <w:rPr>
        <w:rFonts w:hint="default"/>
        <w:b w:val="0"/>
        <w:bCs/>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6679795F"/>
    <w:multiLevelType w:val="hybridMultilevel"/>
    <w:tmpl w:val="F71459E8"/>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699A7402"/>
    <w:multiLevelType w:val="hybridMultilevel"/>
    <w:tmpl w:val="7416F92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72020691">
    <w:abstractNumId w:val="4"/>
  </w:num>
  <w:num w:numId="2" w16cid:durableId="742527251">
    <w:abstractNumId w:val="0"/>
  </w:num>
  <w:num w:numId="3" w16cid:durableId="769664592">
    <w:abstractNumId w:val="1"/>
  </w:num>
  <w:num w:numId="4" w16cid:durableId="1043989075">
    <w:abstractNumId w:val="3"/>
  </w:num>
  <w:num w:numId="5" w16cid:durableId="757101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E"/>
    <w:rsid w:val="0007371C"/>
    <w:rsid w:val="00192D47"/>
    <w:rsid w:val="002759A7"/>
    <w:rsid w:val="0035788C"/>
    <w:rsid w:val="003B176B"/>
    <w:rsid w:val="003D544E"/>
    <w:rsid w:val="003E0541"/>
    <w:rsid w:val="0042002E"/>
    <w:rsid w:val="00486A9D"/>
    <w:rsid w:val="004A3FF0"/>
    <w:rsid w:val="005A4262"/>
    <w:rsid w:val="005E2567"/>
    <w:rsid w:val="006402FD"/>
    <w:rsid w:val="006545D9"/>
    <w:rsid w:val="0067493E"/>
    <w:rsid w:val="00686212"/>
    <w:rsid w:val="006E42D9"/>
    <w:rsid w:val="007143D7"/>
    <w:rsid w:val="00741E2E"/>
    <w:rsid w:val="00786A19"/>
    <w:rsid w:val="007A268D"/>
    <w:rsid w:val="00811CD5"/>
    <w:rsid w:val="00811F2A"/>
    <w:rsid w:val="008760DE"/>
    <w:rsid w:val="0089075F"/>
    <w:rsid w:val="008B4F70"/>
    <w:rsid w:val="008C4E54"/>
    <w:rsid w:val="00AB3A74"/>
    <w:rsid w:val="00B15671"/>
    <w:rsid w:val="00B423E2"/>
    <w:rsid w:val="00B61A89"/>
    <w:rsid w:val="00B74705"/>
    <w:rsid w:val="00BD37A8"/>
    <w:rsid w:val="00BD4200"/>
    <w:rsid w:val="00C03A3D"/>
    <w:rsid w:val="00C91FEA"/>
    <w:rsid w:val="00CC47FE"/>
    <w:rsid w:val="00D62783"/>
    <w:rsid w:val="00D87A21"/>
    <w:rsid w:val="00DA1F5F"/>
    <w:rsid w:val="00DF4FA5"/>
    <w:rsid w:val="00E138EC"/>
    <w:rsid w:val="00E37438"/>
    <w:rsid w:val="00E568CA"/>
    <w:rsid w:val="00F508D7"/>
    <w:rsid w:val="00F8415E"/>
    <w:rsid w:val="00F9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5A1C"/>
  <w15:chartTrackingRefBased/>
  <w15:docId w15:val="{8A1E4414-166D-4E40-BB4D-76ED66DB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E"/>
    <w:pPr>
      <w:spacing w:after="0" w:line="240" w:lineRule="auto"/>
    </w:pPr>
    <w:rPr>
      <w:rFonts w:ascii="Times New Roman" w:eastAsia="Times New Roman" w:hAnsi="Times New Roman" w:cs="Times New Roman"/>
      <w:kern w:val="0"/>
      <w:sz w:val="24"/>
      <w:szCs w:val="24"/>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760DE"/>
    <w:pPr>
      <w:spacing w:after="120"/>
    </w:pPr>
  </w:style>
  <w:style w:type="character" w:customStyle="1" w:styleId="BodyTextChar">
    <w:name w:val="Body Text Char"/>
    <w:basedOn w:val="DefaultParagraphFont"/>
    <w:link w:val="BodyText"/>
    <w:uiPriority w:val="99"/>
    <w:rsid w:val="008760DE"/>
    <w:rPr>
      <w:rFonts w:ascii="Times New Roman" w:eastAsia="Times New Roman" w:hAnsi="Times New Roman" w:cs="Times New Roman"/>
      <w:kern w:val="0"/>
      <w:sz w:val="24"/>
      <w:szCs w:val="24"/>
      <w:lang w:val="hr-HR" w:eastAsia="hr-HR"/>
      <w14:ligatures w14:val="none"/>
    </w:rPr>
  </w:style>
  <w:style w:type="paragraph" w:styleId="ListParagraph">
    <w:name w:val="List Paragraph"/>
    <w:basedOn w:val="Normal"/>
    <w:uiPriority w:val="34"/>
    <w:qFormat/>
    <w:rsid w:val="008B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1807-568E-4711-B23B-5DFE19E6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2024-09-16T10:55:00Z</cp:lastPrinted>
  <dcterms:created xsi:type="dcterms:W3CDTF">2024-09-16T06:32:00Z</dcterms:created>
  <dcterms:modified xsi:type="dcterms:W3CDTF">2025-11-11T13:08:00Z</dcterms:modified>
</cp:coreProperties>
</file>