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9B9" w:rsidRPr="006C69B9" w:rsidRDefault="006C69B9" w:rsidP="006C69B9">
      <w:pPr>
        <w:ind w:left="720"/>
        <w:rPr>
          <w:rFonts w:ascii="Calibri" w:eastAsia="Calibri" w:hAnsi="Calibri" w:cs="Times New Roman"/>
          <w:lang w:eastAsia="hr-HR"/>
        </w:rPr>
      </w:pPr>
    </w:p>
    <w:p w:rsidR="006C69B9" w:rsidRPr="006C69B9" w:rsidRDefault="006C69B9" w:rsidP="00F85905">
      <w:pPr>
        <w:keepNext/>
        <w:numPr>
          <w:ilvl w:val="1"/>
          <w:numId w:val="3"/>
        </w:numPr>
        <w:spacing w:before="240" w:after="60" w:line="240" w:lineRule="auto"/>
        <w:outlineLvl w:val="1"/>
        <w:rPr>
          <w:rFonts w:ascii="Calibri" w:eastAsia="Calibri" w:hAnsi="Calibri" w:cs="Times New Roman"/>
          <w:b/>
          <w:bCs/>
          <w:iCs/>
          <w:color w:val="31849B"/>
          <w:sz w:val="24"/>
          <w:szCs w:val="28"/>
          <w:lang w:eastAsia="hr-HR"/>
        </w:rPr>
      </w:pPr>
      <w:bookmarkStart w:id="0" w:name="_Toc63026932"/>
      <w:r w:rsidRPr="006C69B9">
        <w:rPr>
          <w:rFonts w:ascii="Calibri" w:eastAsia="Calibri" w:hAnsi="Calibri" w:cs="Times New Roman"/>
          <w:b/>
          <w:bCs/>
          <w:iCs/>
          <w:color w:val="31849B"/>
          <w:sz w:val="24"/>
          <w:szCs w:val="28"/>
          <w:lang w:eastAsia="hr-HR"/>
        </w:rPr>
        <w:t>Socio-ekonomska analiza</w:t>
      </w:r>
      <w:bookmarkEnd w:id="0"/>
    </w:p>
    <w:p w:rsidR="006C69B9" w:rsidRPr="006C69B9" w:rsidRDefault="006C69B9" w:rsidP="006C69B9">
      <w:pPr>
        <w:rPr>
          <w:rFonts w:ascii="Calibri" w:eastAsia="Calibri" w:hAnsi="Calibri" w:cs="Times New Roman"/>
          <w:lang w:eastAsia="hr-HR"/>
        </w:rPr>
      </w:pPr>
    </w:p>
    <w:p w:rsidR="006C69B9" w:rsidRPr="006C69B9" w:rsidRDefault="006C69B9" w:rsidP="006C69B9">
      <w:pPr>
        <w:keepNext/>
        <w:spacing w:before="240" w:after="60" w:line="240" w:lineRule="auto"/>
        <w:outlineLvl w:val="1"/>
        <w:rPr>
          <w:rFonts w:ascii="Calibri" w:eastAsia="Calibri" w:hAnsi="Calibri" w:cs="Calibri"/>
          <w:b/>
          <w:bCs/>
          <w:iCs/>
          <w:color w:val="31849B"/>
          <w:sz w:val="24"/>
          <w:szCs w:val="28"/>
          <w:lang w:eastAsia="hr-HR"/>
        </w:rPr>
      </w:pPr>
      <w:bookmarkStart w:id="1" w:name="_Toc57573200"/>
      <w:r w:rsidRPr="006C69B9">
        <w:rPr>
          <w:rFonts w:ascii="Calibri" w:eastAsia="Calibri" w:hAnsi="Calibri" w:cs="Times New Roman"/>
          <w:b/>
          <w:bCs/>
          <w:iCs/>
          <w:color w:val="31849B"/>
          <w:sz w:val="24"/>
          <w:szCs w:val="28"/>
          <w:lang w:eastAsia="hr-HR"/>
        </w:rPr>
        <w:t>Geografske, prirodne i kulturno-historijske karakteristike</w:t>
      </w:r>
      <w:bookmarkEnd w:id="1"/>
      <w:r w:rsidRPr="006C69B9">
        <w:rPr>
          <w:rFonts w:ascii="Calibri" w:eastAsia="Calibri" w:hAnsi="Calibri" w:cs="Times New Roman"/>
          <w:b/>
          <w:bCs/>
          <w:iCs/>
          <w:color w:val="31849B"/>
          <w:sz w:val="24"/>
          <w:szCs w:val="28"/>
          <w:lang w:eastAsia="hr-HR"/>
        </w:rPr>
        <w:t xml:space="preserve">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Hercegovačko-neretvanski kanton (HNK), administrativno pripada Federaciji Bosne i Hercegovine, i smješten je u jugozapadnom dijelu Bosne i Hercegovine sa sjedištem Vlade i Skupštine u Gradu Mostaru. Hercegovačko-neretvanski kanton na sjeveru graniči sa Srednjobosanskim kantonom, na sjeveroistoku sa Kantonom Sarajevo, na istoku sa Republikom Srpskom, na jugozapadu sa Hrvatskom, na zapadu sa Zapadnohercegovačkim kantonom i na sjeverozapadu sa Kantonom 10. Područje Hercegovačko-neretvanskog kantona uključuje 9 lokalnih jedinica samouprave i to: Grad Čapljina, Čitluk, Jablanica, Konjic, Grad Mostar, Neum, Prozor-Rama, Ravno i stolac (Slika 1).</w:t>
      </w:r>
    </w:p>
    <w:p w:rsidR="006C69B9" w:rsidRPr="006C69B9" w:rsidRDefault="006C69B9" w:rsidP="006C69B9">
      <w:pPr>
        <w:jc w:val="center"/>
        <w:rPr>
          <w:rFonts w:ascii="Arial" w:eastAsia="Arial" w:hAnsi="Arial" w:cs="Arial"/>
          <w:lang w:val="bs-Latn-BA"/>
        </w:rPr>
      </w:pPr>
      <w:r w:rsidRPr="006C69B9">
        <w:rPr>
          <w:rFonts w:ascii="Calibri" w:eastAsia="Calibri" w:hAnsi="Calibri" w:cs="Times New Roman"/>
          <w:noProof/>
          <w:lang w:eastAsia="hr-HR"/>
        </w:rPr>
        <w:drawing>
          <wp:inline distT="0" distB="0" distL="0" distR="0">
            <wp:extent cx="2374710" cy="2279176"/>
            <wp:effectExtent l="19050" t="0" r="6540" b="0"/>
            <wp:docPr id="42" name="image6.png" descr="Hercegovačko-neretvanski kanton - Wikipedia"/>
            <wp:cNvGraphicFramePr/>
            <a:graphic xmlns:a="http://schemas.openxmlformats.org/drawingml/2006/main">
              <a:graphicData uri="http://schemas.openxmlformats.org/drawingml/2006/picture">
                <pic:pic xmlns:pic="http://schemas.openxmlformats.org/drawingml/2006/picture">
                  <pic:nvPicPr>
                    <pic:cNvPr id="0" name="image6.png" descr="Hercegovačko-neretvanski kanton - Wikipedia"/>
                    <pic:cNvPicPr preferRelativeResize="0"/>
                  </pic:nvPicPr>
                  <pic:blipFill>
                    <a:blip r:embed="rId7" cstate="print"/>
                    <a:srcRect/>
                    <a:stretch>
                      <a:fillRect/>
                    </a:stretch>
                  </pic:blipFill>
                  <pic:spPr>
                    <a:xfrm>
                      <a:off x="0" y="0"/>
                      <a:ext cx="2373954" cy="2278450"/>
                    </a:xfrm>
                    <a:prstGeom prst="rect">
                      <a:avLst/>
                    </a:prstGeom>
                    <a:ln/>
                  </pic:spPr>
                </pic:pic>
              </a:graphicData>
            </a:graphic>
          </wp:inline>
        </w:drawing>
      </w:r>
      <w:r w:rsidRPr="006C69B9">
        <w:rPr>
          <w:rFonts w:ascii="Calibri" w:eastAsia="Calibri" w:hAnsi="Calibri" w:cs="Times New Roman"/>
          <w:noProof/>
          <w:lang w:eastAsia="hr-HR"/>
        </w:rPr>
        <w:drawing>
          <wp:inline distT="0" distB="0" distL="0" distR="0">
            <wp:extent cx="2257425" cy="2483620"/>
            <wp:effectExtent l="0" t="0" r="0" b="0"/>
            <wp:docPr id="43" name="image2.png" descr="kupujući jeftino sastati jeftina prodaja u SAD-u air max safe sakupljač  vlage konzum - casasdelmarpv.com"/>
            <wp:cNvGraphicFramePr/>
            <a:graphic xmlns:a="http://schemas.openxmlformats.org/drawingml/2006/main">
              <a:graphicData uri="http://schemas.openxmlformats.org/drawingml/2006/picture">
                <pic:pic xmlns:pic="http://schemas.openxmlformats.org/drawingml/2006/picture">
                  <pic:nvPicPr>
                    <pic:cNvPr id="0" name="image2.png" descr="kupujući jeftino sastati jeftina prodaja u SAD-u air max safe sakupljač  vlage konzum - casasdelmarpv.com"/>
                    <pic:cNvPicPr preferRelativeResize="0"/>
                  </pic:nvPicPr>
                  <pic:blipFill>
                    <a:blip r:embed="rId8" cstate="print"/>
                    <a:srcRect/>
                    <a:stretch>
                      <a:fillRect/>
                    </a:stretch>
                  </pic:blipFill>
                  <pic:spPr>
                    <a:xfrm>
                      <a:off x="0" y="0"/>
                      <a:ext cx="2257425" cy="2483620"/>
                    </a:xfrm>
                    <a:prstGeom prst="rect">
                      <a:avLst/>
                    </a:prstGeom>
                    <a:ln/>
                  </pic:spPr>
                </pic:pic>
              </a:graphicData>
            </a:graphic>
          </wp:inline>
        </w:drawing>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Slika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Slika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Geografski položaj Hercegovačko-neretvanskogkantona u FBiH i BiH (slika lijevo), </w:t>
      </w:r>
      <w:r w:rsidRPr="006C69B9">
        <w:rPr>
          <w:rFonts w:ascii="Calibri" w:eastAsia="Calibri" w:hAnsi="Calibri" w:cs="Calibri Light"/>
          <w:bCs/>
          <w:i/>
          <w:color w:val="31849B"/>
          <w:sz w:val="20"/>
        </w:rPr>
        <w:br/>
        <w:t>Karta kantona (slika desno)</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Hercegovačko-neretvanski zauzima površinu od 4.401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xml:space="preserve"> , odnosno 16,85% teritorije FBiH ili 8,59% teritorije Bosne i Hercegovine. Gustina naseljenosti kantona je 49 stanovnika po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xml:space="preserve"> čime se kanton svrstava u rjeđe naseljene kantone obzirom da je prosječna gustina naseljenosti Federacije BiH 84 stanovnika po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Područje kantona nije podjednako naseljen te tako općina Čitluk ima najgušću naseljenost sa 99 stanovnika po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a potom slijedi općina Grad Čapljina sa 97 stanovnika po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xml:space="preserve"> te Grad Mostar sa 89 stanovnika po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S druge strane, najslabije naseljene lokalne jedinice samouprave su općina Stolac sa 9 stanovnika po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xml:space="preserve"> i općina Neum sa 19 stanovnikom po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xml:space="preserve"> (Tabela 1). </w:t>
      </w:r>
      <w:r w:rsidRPr="006C69B9">
        <w:rPr>
          <w:rFonts w:ascii="Calibri" w:eastAsia="Calibri" w:hAnsi="Calibri" w:cs="Calibri"/>
          <w:b/>
          <w:color w:val="366091"/>
          <w:sz w:val="20"/>
          <w:szCs w:val="20"/>
          <w:lang w:val="bs-Latn-BA"/>
        </w:rPr>
        <w:tab/>
        <w:t xml:space="preserve"> </w:t>
      </w:r>
    </w:p>
    <w:p w:rsidR="006C69B9" w:rsidRPr="006C69B9" w:rsidRDefault="006C69B9" w:rsidP="006C69B9">
      <w:pPr>
        <w:keepNext/>
        <w:spacing w:after="80" w:line="240" w:lineRule="auto"/>
        <w:jc w:val="center"/>
        <w:rPr>
          <w:rFonts w:ascii="Calibri" w:eastAsia="Calibri" w:hAnsi="Calibri" w:cs="Calibri Light"/>
          <w:bCs/>
          <w:i/>
          <w:color w:val="365F91"/>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Gustina naseljenosti po općinama u Hercegovačko neretvanskom kantonu, 2019. godina</w:t>
      </w:r>
    </w:p>
    <w:tbl>
      <w:tblPr>
        <w:tblStyle w:val="MediumGrid3-Accent51"/>
        <w:tblW w:w="6471" w:type="dxa"/>
        <w:jc w:val="center"/>
        <w:tblLayout w:type="fixed"/>
        <w:tblLook w:val="06E0"/>
      </w:tblPr>
      <w:tblGrid>
        <w:gridCol w:w="1711"/>
        <w:gridCol w:w="1691"/>
        <w:gridCol w:w="1429"/>
        <w:gridCol w:w="1640"/>
      </w:tblGrid>
      <w:tr w:rsidR="006C69B9" w:rsidRPr="006C69B9" w:rsidTr="006C69B9">
        <w:trPr>
          <w:cnfStyle w:val="100000000000"/>
          <w:trHeight w:val="480"/>
          <w:jc w:val="center"/>
        </w:trPr>
        <w:tc>
          <w:tcPr>
            <w:cnfStyle w:val="001000000000"/>
            <w:tcW w:w="1711" w:type="dxa"/>
            <w:vAlign w:val="center"/>
          </w:tcPr>
          <w:p w:rsidR="006C69B9" w:rsidRPr="006C69B9" w:rsidRDefault="006C69B9" w:rsidP="006C69B9">
            <w:pPr>
              <w:jc w:val="center"/>
              <w:rPr>
                <w:rFonts w:ascii="Arial" w:eastAsia="Arial" w:hAnsi="Arial" w:cs="Arial"/>
                <w:sz w:val="18"/>
                <w:szCs w:val="18"/>
                <w:lang w:val="bs-Latn-BA"/>
              </w:rPr>
            </w:pPr>
            <w:r w:rsidRPr="006C69B9">
              <w:rPr>
                <w:rFonts w:ascii="Arial" w:eastAsia="Arial" w:hAnsi="Arial" w:cs="Arial"/>
                <w:sz w:val="18"/>
                <w:szCs w:val="18"/>
                <w:lang w:val="bs-Latn-BA"/>
              </w:rPr>
              <w:t>Naziv grada/općine</w:t>
            </w:r>
          </w:p>
        </w:tc>
        <w:tc>
          <w:tcPr>
            <w:tcW w:w="1691" w:type="dxa"/>
            <w:vAlign w:val="center"/>
          </w:tcPr>
          <w:p w:rsidR="006C69B9" w:rsidRPr="006C69B9" w:rsidRDefault="006C69B9" w:rsidP="006C69B9">
            <w:pPr>
              <w:jc w:val="center"/>
              <w:cnfStyle w:val="100000000000"/>
              <w:rPr>
                <w:rFonts w:ascii="Arial" w:eastAsia="Arial" w:hAnsi="Arial" w:cs="Arial"/>
                <w:sz w:val="18"/>
                <w:szCs w:val="18"/>
                <w:vertAlign w:val="superscript"/>
                <w:lang w:val="bs-Latn-BA"/>
              </w:rPr>
            </w:pPr>
            <w:r w:rsidRPr="006C69B9">
              <w:rPr>
                <w:rFonts w:ascii="Arial" w:eastAsia="Arial" w:hAnsi="Arial" w:cs="Arial"/>
                <w:sz w:val="18"/>
                <w:szCs w:val="18"/>
                <w:lang w:val="bs-Latn-BA"/>
              </w:rPr>
              <w:t>Površina u km</w:t>
            </w:r>
            <w:r w:rsidRPr="006C69B9">
              <w:rPr>
                <w:rFonts w:ascii="Arial" w:eastAsia="Arial" w:hAnsi="Arial" w:cs="Arial"/>
                <w:sz w:val="18"/>
                <w:szCs w:val="18"/>
                <w:vertAlign w:val="superscript"/>
                <w:lang w:val="bs-Latn-BA"/>
              </w:rPr>
              <w:t>2</w:t>
            </w:r>
          </w:p>
        </w:tc>
        <w:tc>
          <w:tcPr>
            <w:tcW w:w="1429" w:type="dxa"/>
            <w:vAlign w:val="center"/>
          </w:tcPr>
          <w:p w:rsidR="006C69B9" w:rsidRPr="006C69B9" w:rsidRDefault="006C69B9" w:rsidP="006C69B9">
            <w:pPr>
              <w:jc w:val="center"/>
              <w:cnfStyle w:val="100000000000"/>
              <w:rPr>
                <w:rFonts w:ascii="Arial" w:eastAsia="Arial" w:hAnsi="Arial" w:cs="Arial"/>
                <w:sz w:val="18"/>
                <w:szCs w:val="18"/>
                <w:lang w:val="bs-Latn-BA"/>
              </w:rPr>
            </w:pPr>
            <w:r w:rsidRPr="006C69B9">
              <w:rPr>
                <w:rFonts w:ascii="Arial" w:eastAsia="Arial" w:hAnsi="Arial" w:cs="Arial"/>
                <w:sz w:val="18"/>
                <w:szCs w:val="18"/>
                <w:lang w:val="bs-Latn-BA"/>
              </w:rPr>
              <w:t>Broj stanovnika</w:t>
            </w:r>
          </w:p>
        </w:tc>
        <w:tc>
          <w:tcPr>
            <w:tcW w:w="1640" w:type="dxa"/>
            <w:vAlign w:val="center"/>
          </w:tcPr>
          <w:p w:rsidR="006C69B9" w:rsidRPr="006C69B9" w:rsidRDefault="006C69B9" w:rsidP="006C69B9">
            <w:pPr>
              <w:jc w:val="center"/>
              <w:cnfStyle w:val="100000000000"/>
              <w:rPr>
                <w:rFonts w:ascii="Arial" w:eastAsia="Arial" w:hAnsi="Arial" w:cs="Arial"/>
                <w:sz w:val="18"/>
                <w:szCs w:val="18"/>
                <w:lang w:val="bs-Latn-BA"/>
              </w:rPr>
            </w:pPr>
            <w:r w:rsidRPr="006C69B9">
              <w:rPr>
                <w:rFonts w:ascii="Arial" w:eastAsia="Arial" w:hAnsi="Arial" w:cs="Arial"/>
                <w:sz w:val="18"/>
                <w:szCs w:val="18"/>
                <w:lang w:val="bs-Latn-BA"/>
              </w:rPr>
              <w:t>Gustina naseljenosti</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Čapljina</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256</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24.892</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97,2</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Čitluk</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181</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17.944</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99,1</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Jablanica</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301</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9.658</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32,1</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Konjic</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1169</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23.959</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20,5</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Grad Mostar</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1175</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105.203</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89,5</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Neum</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225</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4.389</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19,5</w:t>
            </w:r>
          </w:p>
        </w:tc>
      </w:tr>
      <w:tr w:rsidR="006C69B9" w:rsidRPr="006C69B9" w:rsidTr="006C69B9">
        <w:trPr>
          <w:trHeight w:val="285"/>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Prozor</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477</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13.515</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28,3</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Ravno</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331</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3.209</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9,7</w:t>
            </w:r>
          </w:p>
        </w:tc>
      </w:tr>
      <w:tr w:rsidR="006C69B9" w:rsidRPr="006C69B9" w:rsidTr="006C69B9">
        <w:trPr>
          <w:trHeight w:val="240"/>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Stolac</w:t>
            </w:r>
          </w:p>
        </w:tc>
        <w:tc>
          <w:tcPr>
            <w:tcW w:w="1691"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286</w:t>
            </w:r>
          </w:p>
        </w:tc>
        <w:tc>
          <w:tcPr>
            <w:tcW w:w="1429"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14.201</w:t>
            </w:r>
          </w:p>
        </w:tc>
        <w:tc>
          <w:tcPr>
            <w:tcW w:w="1640" w:type="dxa"/>
            <w:vAlign w:val="center"/>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49,7</w:t>
            </w:r>
          </w:p>
        </w:tc>
      </w:tr>
      <w:tr w:rsidR="006C69B9" w:rsidRPr="006C69B9" w:rsidTr="006C69B9">
        <w:trPr>
          <w:cnfStyle w:val="010000000000"/>
          <w:trHeight w:val="181"/>
          <w:jc w:val="center"/>
        </w:trPr>
        <w:tc>
          <w:tcPr>
            <w:cnfStyle w:val="001000000000"/>
            <w:tcW w:w="1711" w:type="dxa"/>
            <w:vAlign w:val="center"/>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lastRenderedPageBreak/>
              <w:t>Ukupno</w:t>
            </w:r>
          </w:p>
        </w:tc>
        <w:tc>
          <w:tcPr>
            <w:tcW w:w="1691" w:type="dxa"/>
            <w:vAlign w:val="center"/>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4.401</w:t>
            </w:r>
          </w:p>
        </w:tc>
        <w:tc>
          <w:tcPr>
            <w:tcW w:w="1429" w:type="dxa"/>
            <w:vAlign w:val="center"/>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216.970</w:t>
            </w:r>
          </w:p>
        </w:tc>
        <w:tc>
          <w:tcPr>
            <w:tcW w:w="1640" w:type="dxa"/>
            <w:vAlign w:val="center"/>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49,30</w:t>
            </w:r>
          </w:p>
        </w:tc>
      </w:tr>
    </w:tbl>
    <w:p w:rsidR="006C69B9" w:rsidRPr="006C69B9" w:rsidRDefault="006C69B9" w:rsidP="006C69B9">
      <w:pPr>
        <w:jc w:val="both"/>
        <w:rPr>
          <w:rFonts w:ascii="Arial" w:eastAsia="Arial" w:hAnsi="Arial" w:cs="Arial"/>
          <w:lang w:val="bs-Latn-BA"/>
        </w:rPr>
      </w:pPr>
      <w:r w:rsidRPr="006C69B9">
        <w:rPr>
          <w:rFonts w:ascii="Calibri" w:eastAsia="Calibri" w:hAnsi="Calibri" w:cs="Times New Roman"/>
          <w:b/>
          <w:i/>
          <w:sz w:val="16"/>
          <w:szCs w:val="16"/>
          <w:lang w:val="bs-Latn-BA"/>
        </w:rPr>
        <w:t>Izvor podataka: Federalni zavod za programiranje razvoja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Prirodne i zemljopisne karakteristike ovog područja su raznolike, od plodnih, prostranih polja i nepreglednih pašnjaka, rijeka i jezera pa do stoljetnih listopadnih i zimzelenih šuma, i pružaju obilne mogućnosti za život i gospodarski razvitak temeljen na poljoprivrednoj proizvodnji, stočarstvu, te drvnoj industriji. Na sjeveru županije prevladava umjereno kontinentalna, na planinama planinska, a na jugu mediteranska klima. Ekološki čista i netaknuta priroda, zemljopisni položaj te blizina i dobra prometna povezanost s susjednom Republikom Hrvatskom, tj. njezinim vratima u svijet - Srednjom Dalmacijom, kojoj ekonomski i tradicionalno gravitira, bitni su faktori za privredni prosperitet ovog kraja.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Geoprometno gledajući Hercegovačko-neretvanski kanton je raskrižje dva osovinska komunikacijska pravca - regionalnog, državnog, međudržavnog (BiH-RH) i europskog karaktera - što determinira sadašnju, ali određuje i buduću poziciju Hercegovine u ovom dijelu Europe. Oba pravca su podjednakog značenja, ali se onom osovine sjever - jug daje veći prioritet. Ta poveznica mora i kopna, dolinom Neretve, je završni dio vertikale europskih komunikacija iz poznatog Koridora V-c (Baltik-Adriatik). Druga osovina, Jonski pravac, slijedi obalu Jadranskoga mora i povezuje Europu preko Balkana s Bliskim istokom.</w:t>
      </w:r>
      <w:r w:rsidRPr="006C69B9">
        <w:rPr>
          <w:rFonts w:ascii="Arial" w:eastAsia="Arial" w:hAnsi="Arial" w:cs="Arial"/>
          <w:lang w:val="bs-Latn-BA"/>
        </w:rPr>
        <w:t xml:space="preserve"> </w:t>
      </w:r>
      <w:r w:rsidRPr="006C69B9">
        <w:rPr>
          <w:rFonts w:ascii="Calibri" w:eastAsia="Calibri" w:hAnsi="Calibri" w:cs="Times New Roman"/>
          <w:lang w:val="bs-Latn-BA"/>
        </w:rPr>
        <w:t xml:space="preserve">Cestovna mreža veže regiju sa susjednim državama Hrvatskom i Crnom Gorom i nadalje sa ostatkom Europe. Mreža željeznice veže Mostar sa Sarajevom i s lukom Ploče na Jadranskoj obali u Hrvatskoj, koja je izgrađena posebno da služi potrebama Bosne i Hercegovine i koja predstavlja prirodni transportni ulaz i izlaz za državu, a i za regiju.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Zračni saobraćaj u regiji funkcionira preko jedine regionalne zračne luke u Mostaru, koja se nalazi u južnoj mostarskoj kotlini, u naselju Ortiješ, samo 6 km od središta Mostara i 35 km od Međugorja.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Hercegovačko-neretvanski kanton sa svojim prirodnim parkovima i brojnim prironim ljepotama ima veliki turistički potencijal. Najveće turističke atrakcije u HNK su Stari grad u Mostaru, Blagaj kod Mostara, Međugorje i Neum (jedini izlaz Bosne i Hercegovine na more).</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2" w:name="_Toc57573201"/>
      <w:r w:rsidRPr="006C69B9">
        <w:rPr>
          <w:rFonts w:ascii="Calibri" w:eastAsia="Calibri" w:hAnsi="Calibri" w:cs="Times New Roman"/>
          <w:b/>
          <w:bCs/>
          <w:iCs/>
          <w:color w:val="31849B"/>
          <w:sz w:val="24"/>
          <w:szCs w:val="28"/>
          <w:lang w:eastAsia="hr-HR"/>
        </w:rPr>
        <w:t>Demografske karakteristike i kretanja uključujući stanje dijaspore</w:t>
      </w:r>
      <w:bookmarkEnd w:id="2"/>
    </w:p>
    <w:p w:rsidR="006C69B9" w:rsidRPr="006C69B9" w:rsidRDefault="006C69B9" w:rsidP="006C69B9">
      <w:pPr>
        <w:jc w:val="both"/>
        <w:rPr>
          <w:rFonts w:ascii="Calibri" w:eastAsia="Calibri" w:hAnsi="Calibri" w:cs="Times New Roman"/>
          <w:i/>
          <w:lang w:val="bs-Latn-BA"/>
        </w:rPr>
      </w:pPr>
      <w:r w:rsidRPr="006C69B9">
        <w:rPr>
          <w:rFonts w:ascii="Calibri" w:eastAsia="Calibri" w:hAnsi="Calibri" w:cs="Times New Roman"/>
          <w:lang w:val="bs-Latn-BA"/>
        </w:rPr>
        <w:br/>
        <w:t>Prema rezultatima popisa stanovništva iz 2013. godine Hercegovačko-neretvanski kanton imao je 222.004 stanovnika (6. u Federaciji BiH) i gustoću naseljenosti 51 stanovnika/km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čime se svrstava u kategoriju rijetko naseljenih kantona. Procijenjeni broj stanovnika u 2019. godini je 216.970 što je za 5.034 ili 2,27% manje u odnosu na popis iz 2013. godine. Skoro polovina stanovnika HNK je naseljena u Gradu Mostaru, koji je najveće urbano, obrazovno, zdravstveno, kulturno, turističko te ekonomsko središte HNK ali i Hercegovine. Ostale općine imaju uglavnom negativan migracijski saldo koji je uglavnom uvjetovan ekonomskim razlozima (Tabela 2.).</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Pregled broja stanovnika po općinama HNK, prema popisu stanovništva iz 2013. godine i procjeni broja stanovnika za period 2015.-2019. godina</w:t>
      </w:r>
    </w:p>
    <w:tbl>
      <w:tblPr>
        <w:tblStyle w:val="MediumGrid3-Accent51"/>
        <w:tblW w:w="8755" w:type="dxa"/>
        <w:jc w:val="center"/>
        <w:tblLayout w:type="fixed"/>
        <w:tblLook w:val="06E0"/>
      </w:tblPr>
      <w:tblGrid>
        <w:gridCol w:w="2093"/>
        <w:gridCol w:w="1110"/>
        <w:gridCol w:w="1110"/>
        <w:gridCol w:w="1111"/>
        <w:gridCol w:w="1110"/>
        <w:gridCol w:w="1110"/>
        <w:gridCol w:w="1111"/>
      </w:tblGrid>
      <w:tr w:rsidR="006C69B9" w:rsidRPr="006C69B9" w:rsidTr="006C69B9">
        <w:trPr>
          <w:cnfStyle w:val="100000000000"/>
          <w:trHeight w:val="359"/>
          <w:jc w:val="center"/>
        </w:trPr>
        <w:tc>
          <w:tcPr>
            <w:cnfStyle w:val="001000000000"/>
            <w:tcW w:w="2093" w:type="dxa"/>
          </w:tcPr>
          <w:p w:rsidR="006C69B9" w:rsidRPr="006C69B9" w:rsidRDefault="006C69B9" w:rsidP="006C69B9">
            <w:pPr>
              <w:jc w:val="center"/>
              <w:rPr>
                <w:rFonts w:ascii="Calibri" w:eastAsia="Calibri" w:hAnsi="Calibri" w:cs="Calibri"/>
                <w:sz w:val="18"/>
                <w:szCs w:val="18"/>
                <w:lang w:val="bs-Latn-BA"/>
              </w:rPr>
            </w:pPr>
            <w:r w:rsidRPr="006C69B9">
              <w:rPr>
                <w:rFonts w:ascii="Calibri" w:eastAsia="Calibri" w:hAnsi="Calibri" w:cs="Calibri"/>
                <w:sz w:val="18"/>
                <w:szCs w:val="18"/>
                <w:lang w:val="bs-Latn-BA"/>
              </w:rPr>
              <w:t>Naziv grada/općine</w:t>
            </w:r>
          </w:p>
        </w:tc>
        <w:tc>
          <w:tcPr>
            <w:tcW w:w="1110" w:type="dxa"/>
          </w:tcPr>
          <w:p w:rsidR="006C69B9" w:rsidRPr="006C69B9" w:rsidRDefault="006C69B9" w:rsidP="006C69B9">
            <w:pPr>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2013.</w:t>
            </w:r>
          </w:p>
        </w:tc>
        <w:tc>
          <w:tcPr>
            <w:tcW w:w="1110" w:type="dxa"/>
          </w:tcPr>
          <w:p w:rsidR="006C69B9" w:rsidRPr="006C69B9" w:rsidRDefault="006C69B9" w:rsidP="006C69B9">
            <w:pPr>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2015.</w:t>
            </w:r>
          </w:p>
        </w:tc>
        <w:tc>
          <w:tcPr>
            <w:tcW w:w="1111" w:type="dxa"/>
          </w:tcPr>
          <w:p w:rsidR="006C69B9" w:rsidRPr="006C69B9" w:rsidRDefault="006C69B9" w:rsidP="006C69B9">
            <w:pPr>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2016.</w:t>
            </w:r>
          </w:p>
        </w:tc>
        <w:tc>
          <w:tcPr>
            <w:tcW w:w="1110" w:type="dxa"/>
          </w:tcPr>
          <w:p w:rsidR="006C69B9" w:rsidRPr="006C69B9" w:rsidRDefault="006C69B9" w:rsidP="006C69B9">
            <w:pPr>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2017.</w:t>
            </w:r>
          </w:p>
        </w:tc>
        <w:tc>
          <w:tcPr>
            <w:tcW w:w="1110" w:type="dxa"/>
          </w:tcPr>
          <w:p w:rsidR="006C69B9" w:rsidRPr="006C69B9" w:rsidRDefault="006C69B9" w:rsidP="006C69B9">
            <w:pPr>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2018.</w:t>
            </w:r>
          </w:p>
        </w:tc>
        <w:tc>
          <w:tcPr>
            <w:tcW w:w="1111" w:type="dxa"/>
          </w:tcPr>
          <w:p w:rsidR="006C69B9" w:rsidRPr="006C69B9" w:rsidRDefault="006C69B9" w:rsidP="006C69B9">
            <w:pPr>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2019.</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Čapljina</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26.157</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22.483</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25.410</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25.160</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25.024</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24.892</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Čitluk</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18.140</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15.857</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18.043</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17.997</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17.955</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17.944</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Jablanica</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10.111</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11.493</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9.889</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9.801</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9.730</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9.658</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Konjic</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25.148</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27.141</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24.501</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24.285</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24.140</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23.959</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Grad Mostar</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105.794</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112.347</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105.661</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105.417</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105.371</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105.203</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Neum</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4.653</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4.335</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4.507</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4.461</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4.432</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4.389</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Prozor</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14.280</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15.498</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13.896</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13.747</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13.643</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13.515</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Ravno</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3.219</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1.419</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3.191</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3.207</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3.201</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3.209</w:t>
            </w:r>
          </w:p>
        </w:tc>
      </w:tr>
      <w:tr w:rsidR="006C69B9" w:rsidRPr="006C69B9" w:rsidTr="006C69B9">
        <w:trPr>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lastRenderedPageBreak/>
              <w:t>Stolac</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14.502</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12.898</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14.297</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14.398</w:t>
            </w:r>
          </w:p>
        </w:tc>
        <w:tc>
          <w:tcPr>
            <w:tcW w:w="1110"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14.269</w:t>
            </w:r>
          </w:p>
        </w:tc>
        <w:tc>
          <w:tcPr>
            <w:tcW w:w="1111" w:type="dxa"/>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14.201</w:t>
            </w:r>
          </w:p>
        </w:tc>
      </w:tr>
      <w:tr w:rsidR="006C69B9" w:rsidRPr="006C69B9" w:rsidTr="006C69B9">
        <w:trPr>
          <w:cnfStyle w:val="010000000000"/>
          <w:trHeight w:val="283"/>
          <w:jc w:val="center"/>
        </w:trPr>
        <w:tc>
          <w:tcPr>
            <w:cnfStyle w:val="001000000000"/>
            <w:tcW w:w="2093" w:type="dxa"/>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Ukupno</w:t>
            </w:r>
          </w:p>
        </w:tc>
        <w:tc>
          <w:tcPr>
            <w:tcW w:w="1110" w:type="dxa"/>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222.004</w:t>
            </w:r>
          </w:p>
        </w:tc>
        <w:tc>
          <w:tcPr>
            <w:tcW w:w="1110" w:type="dxa"/>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223.471</w:t>
            </w:r>
          </w:p>
        </w:tc>
        <w:tc>
          <w:tcPr>
            <w:tcW w:w="1111" w:type="dxa"/>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219.395</w:t>
            </w:r>
          </w:p>
        </w:tc>
        <w:tc>
          <w:tcPr>
            <w:tcW w:w="1110" w:type="dxa"/>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218.473</w:t>
            </w:r>
          </w:p>
        </w:tc>
        <w:tc>
          <w:tcPr>
            <w:tcW w:w="1110" w:type="dxa"/>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217.765</w:t>
            </w:r>
          </w:p>
        </w:tc>
        <w:tc>
          <w:tcPr>
            <w:tcW w:w="1111" w:type="dxa"/>
          </w:tcPr>
          <w:p w:rsidR="006C69B9" w:rsidRPr="006C69B9" w:rsidRDefault="006C69B9" w:rsidP="006C69B9">
            <w:pPr>
              <w:jc w:val="cente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216.970</w:t>
            </w:r>
          </w:p>
        </w:tc>
      </w:tr>
    </w:tbl>
    <w:p w:rsidR="006C69B9" w:rsidRPr="006C69B9" w:rsidRDefault="006C69B9" w:rsidP="006C69B9">
      <w:pPr>
        <w:pBdr>
          <w:top w:val="nil"/>
          <w:left w:val="nil"/>
          <w:bottom w:val="nil"/>
          <w:right w:val="nil"/>
          <w:between w:val="nil"/>
        </w:pBdr>
        <w:spacing w:after="0" w:line="240" w:lineRule="auto"/>
        <w:rPr>
          <w:rFonts w:ascii="Calibri" w:eastAsia="Calibri" w:hAnsi="Calibri" w:cs="Calibri"/>
          <w:i/>
          <w:color w:val="000000"/>
          <w:sz w:val="16"/>
          <w:szCs w:val="16"/>
          <w:lang w:val="bs-Latn-BA"/>
        </w:rPr>
      </w:pPr>
      <w:r w:rsidRPr="006C69B9">
        <w:rPr>
          <w:rFonts w:ascii="Calibri" w:eastAsia="Calibri" w:hAnsi="Calibri" w:cs="Calibri"/>
          <w:i/>
          <w:color w:val="000000"/>
          <w:sz w:val="16"/>
          <w:szCs w:val="16"/>
          <w:lang w:val="bs-Latn-BA"/>
        </w:rPr>
        <w:t>Izvor podataka: Federalni zavod za programiranje razvoja</w:t>
      </w:r>
    </w:p>
    <w:p w:rsidR="006C69B9" w:rsidRPr="006C69B9" w:rsidRDefault="006C69B9" w:rsidP="006C69B9">
      <w:pPr>
        <w:spacing w:after="0"/>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Broj stanovnika na popisu iz 2013. godine je za 45.626 ili 17,05% manji u odnosu na popis iz 1991. godine. Etnička struktura stanovništva sa popisa je ukazala da 53,29% stanovništva čine Hrvati, 41,44% Bošnjaci, 2,9% Srbi te ostali 2,38%. Osnovna izmjena u etničkoj strukturi u odnosu na 1991. godinu je značajno smanjen udio Srba u strukturi stanovništva sa 14,07% na 2,9% te porast udjela Hrvata sa 40,68% na 53,29%. </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903825" cy="2094613"/>
            <wp:effectExtent l="19050" t="0" r="11075" b="887"/>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Grafikon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Grafikon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Pregled prirodnog priraštaja stanovništva u HNK za period 2014.-2019. godina</w:t>
      </w:r>
    </w:p>
    <w:p w:rsidR="006C69B9" w:rsidRPr="006C69B9" w:rsidRDefault="006C69B9" w:rsidP="006C69B9">
      <w:pPr>
        <w:pBdr>
          <w:top w:val="nil"/>
          <w:left w:val="nil"/>
          <w:bottom w:val="nil"/>
          <w:right w:val="nil"/>
          <w:between w:val="nil"/>
        </w:pBdr>
        <w:spacing w:after="0" w:line="240" w:lineRule="auto"/>
        <w:jc w:val="center"/>
        <w:rPr>
          <w:rFonts w:ascii="Calibri" w:eastAsia="Calibri" w:hAnsi="Calibri" w:cs="Calibri"/>
          <w:i/>
          <w:color w:val="366091"/>
          <w:sz w:val="16"/>
          <w:szCs w:val="16"/>
          <w:lang w:val="bs-Latn-BA"/>
        </w:rPr>
      </w:pPr>
      <w:r w:rsidRPr="006C69B9">
        <w:rPr>
          <w:rFonts w:ascii="Calibri" w:eastAsia="Calibri" w:hAnsi="Calibri" w:cs="Calibri"/>
          <w:i/>
          <w:color w:val="366091"/>
          <w:sz w:val="16"/>
          <w:szCs w:val="16"/>
          <w:lang w:val="bs-Latn-BA"/>
        </w:rPr>
        <w:t>Izvor podataka: Federalni zavod za programiranje razvoja</w:t>
      </w:r>
    </w:p>
    <w:p w:rsidR="006C69B9" w:rsidRPr="006C69B9" w:rsidRDefault="006C69B9" w:rsidP="006C69B9">
      <w:pPr>
        <w:pBdr>
          <w:top w:val="nil"/>
          <w:left w:val="nil"/>
          <w:bottom w:val="nil"/>
          <w:right w:val="nil"/>
          <w:between w:val="nil"/>
        </w:pBdr>
        <w:spacing w:after="0" w:line="240" w:lineRule="auto"/>
        <w:jc w:val="center"/>
        <w:rPr>
          <w:rFonts w:ascii="Calibri" w:eastAsia="Calibri" w:hAnsi="Calibri" w:cs="Calibri"/>
          <w:i/>
          <w:color w:val="366091"/>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Analiza trenda prirodnog priraštaja stanovnika HNK u periodu 2014.-2019. godina, prikazana na Slici 2. ukazuje na kontinuiran negativan prirodni priraštaj sa rastućim trendom, gdje je primjetna sve značajnija razlika razlika između broja umrlih i broja novorođenih (u 2019. godini je 644 osoba više umrlih nego novorođenih osoba, dok je 2014. godine ta razlika bila 340 osoba). Negativan prirodni priraštaj je trend prisutan u cijeloj Bosni i Hercegovini, a uzročnici leže u nestabilnoj političkoj situaciji, težoj zapošljivosti mladih, kasnijem otpočinjanju samostalnog života i zasnivanja porodice te sve većeg broja odlaska mladih iz Bosne i Hercegovine.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Prema dostupnim podacima, starosna struktura stanovništva ukazuje da HNK prati starosnu strukturu stanovnika FBiH (Tabela 3.), s tim da je značajnije izražen porast udjela stanovništva starije od 65 godina sa 10,92% u 2016. na 15,7 % u 2019.te istovremeno smanjenja udjela stanovnika mlađeg od 14 godina sa 18,53% u 2016. na 14,6% u 2019. godini.</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Starosna struktura stanovništva u HNK i Federaciji BiH u 2016. i 2019. godini</w:t>
      </w:r>
    </w:p>
    <w:tbl>
      <w:tblPr>
        <w:tblStyle w:val="MediumGrid3-Accent51"/>
        <w:tblW w:w="9152" w:type="dxa"/>
        <w:tblLayout w:type="fixed"/>
        <w:tblLook w:val="06E0"/>
      </w:tblPr>
      <w:tblGrid>
        <w:gridCol w:w="988"/>
        <w:gridCol w:w="1153"/>
        <w:gridCol w:w="973"/>
        <w:gridCol w:w="1134"/>
        <w:gridCol w:w="850"/>
        <w:gridCol w:w="1110"/>
        <w:gridCol w:w="1017"/>
        <w:gridCol w:w="1110"/>
        <w:gridCol w:w="808"/>
        <w:gridCol w:w="9"/>
      </w:tblGrid>
      <w:tr w:rsidR="006C69B9" w:rsidRPr="006C69B9" w:rsidTr="006C69B9">
        <w:trPr>
          <w:cnfStyle w:val="100000000000"/>
          <w:trHeight w:val="300"/>
        </w:trPr>
        <w:tc>
          <w:tcPr>
            <w:cnfStyle w:val="001000000000"/>
            <w:tcW w:w="988" w:type="dxa"/>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Godina</w:t>
            </w:r>
          </w:p>
        </w:tc>
        <w:tc>
          <w:tcPr>
            <w:tcW w:w="4110" w:type="dxa"/>
            <w:gridSpan w:val="4"/>
            <w:vAlign w:val="center"/>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2016.</w:t>
            </w:r>
          </w:p>
        </w:tc>
        <w:tc>
          <w:tcPr>
            <w:tcW w:w="4054" w:type="dxa"/>
            <w:gridSpan w:val="5"/>
            <w:vAlign w:val="center"/>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2019.</w:t>
            </w:r>
          </w:p>
        </w:tc>
      </w:tr>
      <w:tr w:rsidR="006C69B9" w:rsidRPr="006C69B9" w:rsidTr="006C69B9">
        <w:trPr>
          <w:trHeight w:val="300"/>
        </w:trPr>
        <w:tc>
          <w:tcPr>
            <w:cnfStyle w:val="001000000000"/>
            <w:tcW w:w="988" w:type="dxa"/>
            <w:vMerge w:val="restart"/>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Starosna dob</w:t>
            </w:r>
          </w:p>
        </w:tc>
        <w:tc>
          <w:tcPr>
            <w:tcW w:w="2126" w:type="dxa"/>
            <w:gridSpan w:val="2"/>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HNK</w:t>
            </w:r>
          </w:p>
        </w:tc>
        <w:tc>
          <w:tcPr>
            <w:tcW w:w="1984" w:type="dxa"/>
            <w:gridSpan w:val="2"/>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Federacija BiH</w:t>
            </w:r>
          </w:p>
        </w:tc>
        <w:tc>
          <w:tcPr>
            <w:tcW w:w="2127" w:type="dxa"/>
            <w:gridSpan w:val="2"/>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Hercegovačko-neretvanski kanton</w:t>
            </w:r>
          </w:p>
        </w:tc>
        <w:tc>
          <w:tcPr>
            <w:tcW w:w="1927" w:type="dxa"/>
            <w:gridSpan w:val="3"/>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Federacija BiH</w:t>
            </w:r>
          </w:p>
        </w:tc>
      </w:tr>
      <w:tr w:rsidR="006C69B9" w:rsidRPr="006C69B9" w:rsidTr="006C69B9">
        <w:trPr>
          <w:gridAfter w:val="1"/>
          <w:wAfter w:w="9" w:type="dxa"/>
          <w:trHeight w:val="277"/>
        </w:trPr>
        <w:tc>
          <w:tcPr>
            <w:cnfStyle w:val="001000000000"/>
            <w:tcW w:w="988" w:type="dxa"/>
            <w:vMerge/>
            <w:vAlign w:val="center"/>
          </w:tcPr>
          <w:p w:rsidR="006C69B9" w:rsidRPr="006C69B9" w:rsidRDefault="006C69B9" w:rsidP="006C69B9">
            <w:pPr>
              <w:widowControl w:val="0"/>
              <w:pBdr>
                <w:top w:val="nil"/>
                <w:left w:val="nil"/>
                <w:bottom w:val="nil"/>
                <w:right w:val="nil"/>
                <w:between w:val="nil"/>
              </w:pBdr>
              <w:spacing w:line="276" w:lineRule="auto"/>
              <w:jc w:val="center"/>
              <w:rPr>
                <w:rFonts w:ascii="Calibri" w:eastAsia="Calibri" w:hAnsi="Calibri" w:cs="Times New Roman"/>
                <w:sz w:val="18"/>
                <w:szCs w:val="18"/>
                <w:lang w:val="bs-Latn-BA"/>
              </w:rPr>
            </w:pPr>
          </w:p>
        </w:tc>
        <w:tc>
          <w:tcPr>
            <w:tcW w:w="1153"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Broj stanovnika</w:t>
            </w:r>
          </w:p>
        </w:tc>
        <w:tc>
          <w:tcPr>
            <w:tcW w:w="973"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Udio</w:t>
            </w:r>
          </w:p>
        </w:tc>
        <w:tc>
          <w:tcPr>
            <w:tcW w:w="1134"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Broj stanovnika</w:t>
            </w:r>
          </w:p>
        </w:tc>
        <w:tc>
          <w:tcPr>
            <w:tcW w:w="850"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Udio</w:t>
            </w:r>
          </w:p>
        </w:tc>
        <w:tc>
          <w:tcPr>
            <w:tcW w:w="1110"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Broj stanovnika</w:t>
            </w:r>
          </w:p>
        </w:tc>
        <w:tc>
          <w:tcPr>
            <w:tcW w:w="1017"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Udio</w:t>
            </w:r>
          </w:p>
        </w:tc>
        <w:tc>
          <w:tcPr>
            <w:tcW w:w="1110"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Broj stanovnika</w:t>
            </w:r>
          </w:p>
        </w:tc>
        <w:tc>
          <w:tcPr>
            <w:tcW w:w="808"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w:t>
            </w:r>
          </w:p>
        </w:tc>
      </w:tr>
      <w:tr w:rsidR="006C69B9" w:rsidRPr="006C69B9" w:rsidTr="006C69B9">
        <w:trPr>
          <w:trHeight w:val="300"/>
        </w:trPr>
        <w:tc>
          <w:tcPr>
            <w:cnfStyle w:val="001000000000"/>
            <w:tcW w:w="988" w:type="dxa"/>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0-14</w:t>
            </w:r>
          </w:p>
        </w:tc>
        <w:tc>
          <w:tcPr>
            <w:tcW w:w="115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39.005</w:t>
            </w:r>
          </w:p>
        </w:tc>
        <w:tc>
          <w:tcPr>
            <w:tcW w:w="97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17,78%</w:t>
            </w:r>
          </w:p>
        </w:tc>
        <w:tc>
          <w:tcPr>
            <w:tcW w:w="1134"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Calibri"/>
                <w:color w:val="000000"/>
                <w:sz w:val="18"/>
                <w:szCs w:val="18"/>
                <w:lang w:val="bs-Latn-BA"/>
              </w:rPr>
              <w:t>408.724</w:t>
            </w:r>
          </w:p>
        </w:tc>
        <w:tc>
          <w:tcPr>
            <w:tcW w:w="85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18,53%</w:t>
            </w:r>
          </w:p>
        </w:tc>
        <w:tc>
          <w:tcPr>
            <w:tcW w:w="1110"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30.024</w:t>
            </w:r>
          </w:p>
        </w:tc>
        <w:tc>
          <w:tcPr>
            <w:tcW w:w="10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13,84%</w:t>
            </w:r>
          </w:p>
        </w:tc>
        <w:tc>
          <w:tcPr>
            <w:tcW w:w="111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320.184</w:t>
            </w:r>
          </w:p>
        </w:tc>
        <w:tc>
          <w:tcPr>
            <w:tcW w:w="817" w:type="dxa"/>
            <w:gridSpan w:val="2"/>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14,6%</w:t>
            </w:r>
          </w:p>
        </w:tc>
      </w:tr>
      <w:tr w:rsidR="006C69B9" w:rsidRPr="006C69B9" w:rsidTr="006C69B9">
        <w:trPr>
          <w:trHeight w:val="300"/>
        </w:trPr>
        <w:tc>
          <w:tcPr>
            <w:cnfStyle w:val="001000000000"/>
            <w:tcW w:w="988" w:type="dxa"/>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15-64</w:t>
            </w:r>
          </w:p>
        </w:tc>
        <w:tc>
          <w:tcPr>
            <w:tcW w:w="115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151.314</w:t>
            </w:r>
          </w:p>
        </w:tc>
        <w:tc>
          <w:tcPr>
            <w:tcW w:w="97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68,97%</w:t>
            </w:r>
          </w:p>
        </w:tc>
        <w:tc>
          <w:tcPr>
            <w:tcW w:w="1134"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1.556.536</w:t>
            </w:r>
          </w:p>
        </w:tc>
        <w:tc>
          <w:tcPr>
            <w:tcW w:w="85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70,55%</w:t>
            </w:r>
          </w:p>
        </w:tc>
        <w:tc>
          <w:tcPr>
            <w:tcW w:w="1110"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148.293</w:t>
            </w:r>
          </w:p>
        </w:tc>
        <w:tc>
          <w:tcPr>
            <w:tcW w:w="10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68,35%</w:t>
            </w:r>
          </w:p>
        </w:tc>
        <w:tc>
          <w:tcPr>
            <w:tcW w:w="111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1.526.894</w:t>
            </w:r>
          </w:p>
        </w:tc>
        <w:tc>
          <w:tcPr>
            <w:tcW w:w="817" w:type="dxa"/>
            <w:gridSpan w:val="2"/>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69,7%</w:t>
            </w:r>
          </w:p>
        </w:tc>
      </w:tr>
      <w:tr w:rsidR="006C69B9" w:rsidRPr="006C69B9" w:rsidTr="006C69B9">
        <w:trPr>
          <w:trHeight w:val="300"/>
        </w:trPr>
        <w:tc>
          <w:tcPr>
            <w:cnfStyle w:val="001000000000"/>
            <w:tcW w:w="988" w:type="dxa"/>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65+</w:t>
            </w:r>
          </w:p>
        </w:tc>
        <w:tc>
          <w:tcPr>
            <w:tcW w:w="115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29.076</w:t>
            </w:r>
          </w:p>
        </w:tc>
        <w:tc>
          <w:tcPr>
            <w:tcW w:w="97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13,25%</w:t>
            </w:r>
          </w:p>
        </w:tc>
        <w:tc>
          <w:tcPr>
            <w:tcW w:w="1134"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240.971</w:t>
            </w:r>
          </w:p>
        </w:tc>
        <w:tc>
          <w:tcPr>
            <w:tcW w:w="85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10,92%</w:t>
            </w:r>
          </w:p>
        </w:tc>
        <w:tc>
          <w:tcPr>
            <w:tcW w:w="1110"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38.653</w:t>
            </w:r>
          </w:p>
        </w:tc>
        <w:tc>
          <w:tcPr>
            <w:tcW w:w="10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17,81%</w:t>
            </w:r>
          </w:p>
        </w:tc>
        <w:tc>
          <w:tcPr>
            <w:tcW w:w="111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343.020</w:t>
            </w:r>
          </w:p>
        </w:tc>
        <w:tc>
          <w:tcPr>
            <w:tcW w:w="817" w:type="dxa"/>
            <w:gridSpan w:val="2"/>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15,7%</w:t>
            </w:r>
          </w:p>
        </w:tc>
      </w:tr>
      <w:tr w:rsidR="006C69B9" w:rsidRPr="006C69B9" w:rsidTr="006C69B9">
        <w:trPr>
          <w:cnfStyle w:val="010000000000"/>
          <w:trHeight w:val="300"/>
        </w:trPr>
        <w:tc>
          <w:tcPr>
            <w:cnfStyle w:val="001000000000"/>
            <w:tcW w:w="988" w:type="dxa"/>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Ukupno</w:t>
            </w:r>
          </w:p>
        </w:tc>
        <w:tc>
          <w:tcPr>
            <w:tcW w:w="1153" w:type="dxa"/>
            <w:vAlign w:val="center"/>
          </w:tcPr>
          <w:p w:rsidR="006C69B9" w:rsidRPr="006C69B9" w:rsidRDefault="006C69B9" w:rsidP="006C69B9">
            <w:pPr>
              <w:jc w:val="center"/>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219.395</w:t>
            </w:r>
          </w:p>
        </w:tc>
        <w:tc>
          <w:tcPr>
            <w:tcW w:w="973" w:type="dxa"/>
            <w:vAlign w:val="center"/>
          </w:tcPr>
          <w:p w:rsidR="006C69B9" w:rsidRPr="006C69B9" w:rsidRDefault="006C69B9" w:rsidP="006C69B9">
            <w:pPr>
              <w:jc w:val="center"/>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w:t>
            </w:r>
          </w:p>
        </w:tc>
        <w:tc>
          <w:tcPr>
            <w:tcW w:w="1134" w:type="dxa"/>
            <w:vAlign w:val="center"/>
          </w:tcPr>
          <w:p w:rsidR="006C69B9" w:rsidRPr="006C69B9" w:rsidRDefault="006C69B9" w:rsidP="006C69B9">
            <w:pPr>
              <w:jc w:val="center"/>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2.206.231</w:t>
            </w:r>
          </w:p>
        </w:tc>
        <w:tc>
          <w:tcPr>
            <w:tcW w:w="850" w:type="dxa"/>
            <w:vAlign w:val="center"/>
          </w:tcPr>
          <w:p w:rsidR="006C69B9" w:rsidRPr="006C69B9" w:rsidRDefault="006C69B9" w:rsidP="006C69B9">
            <w:pPr>
              <w:jc w:val="center"/>
              <w:cnfStyle w:val="010000000000"/>
              <w:rPr>
                <w:rFonts w:ascii="Calibri" w:eastAsia="Calibri" w:hAnsi="Calibri" w:cs="Times New Roman"/>
                <w:sz w:val="18"/>
                <w:szCs w:val="18"/>
                <w:lang w:val="bs-Latn-BA"/>
              </w:rPr>
            </w:pPr>
          </w:p>
        </w:tc>
        <w:tc>
          <w:tcPr>
            <w:tcW w:w="1110" w:type="dxa"/>
            <w:vAlign w:val="center"/>
          </w:tcPr>
          <w:p w:rsidR="006C69B9" w:rsidRPr="006C69B9" w:rsidRDefault="006C69B9" w:rsidP="006C69B9">
            <w:pPr>
              <w:jc w:val="center"/>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216.970</w:t>
            </w:r>
          </w:p>
        </w:tc>
        <w:tc>
          <w:tcPr>
            <w:tcW w:w="1017" w:type="dxa"/>
            <w:vAlign w:val="center"/>
          </w:tcPr>
          <w:p w:rsidR="006C69B9" w:rsidRPr="006C69B9" w:rsidRDefault="006C69B9" w:rsidP="006C69B9">
            <w:pPr>
              <w:jc w:val="center"/>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w:t>
            </w:r>
          </w:p>
        </w:tc>
        <w:tc>
          <w:tcPr>
            <w:tcW w:w="1110" w:type="dxa"/>
            <w:vAlign w:val="center"/>
          </w:tcPr>
          <w:p w:rsidR="006C69B9" w:rsidRPr="006C69B9" w:rsidRDefault="006C69B9" w:rsidP="006C69B9">
            <w:pPr>
              <w:jc w:val="center"/>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2.190.098</w:t>
            </w:r>
          </w:p>
        </w:tc>
        <w:tc>
          <w:tcPr>
            <w:tcW w:w="817" w:type="dxa"/>
            <w:gridSpan w:val="2"/>
            <w:vAlign w:val="center"/>
          </w:tcPr>
          <w:p w:rsidR="006C69B9" w:rsidRPr="006C69B9" w:rsidRDefault="006C69B9" w:rsidP="006C69B9">
            <w:pPr>
              <w:jc w:val="center"/>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w:t>
            </w:r>
          </w:p>
        </w:tc>
      </w:tr>
    </w:tbl>
    <w:p w:rsidR="006C69B9" w:rsidRPr="006C69B9" w:rsidRDefault="006C69B9" w:rsidP="006C69B9">
      <w:pPr>
        <w:spacing w:after="0"/>
        <w:rPr>
          <w:rFonts w:ascii="Calibri" w:eastAsia="Calibri" w:hAnsi="Calibri" w:cs="Times New Roman"/>
          <w:lang w:val="bs-Latn-BA"/>
        </w:rPr>
      </w:pPr>
      <w:r w:rsidRPr="006C69B9">
        <w:rPr>
          <w:rFonts w:ascii="Calibri" w:eastAsia="Calibri" w:hAnsi="Calibri" w:cs="Times New Roman"/>
          <w:i/>
          <w:sz w:val="16"/>
          <w:szCs w:val="16"/>
          <w:lang w:val="bs-Latn-BA"/>
        </w:rPr>
        <w:t>Izvor podataka: Federalni zavod za statistiku</w:t>
      </w:r>
    </w:p>
    <w:p w:rsidR="006C69B9" w:rsidRPr="006C69B9" w:rsidRDefault="006C69B9" w:rsidP="006C69B9">
      <w:pPr>
        <w:spacing w:after="0"/>
        <w:rPr>
          <w:rFonts w:ascii="Calibri" w:eastAsia="Calibri" w:hAnsi="Calibri" w:cs="Times New Roman"/>
          <w:lang w:val="bs-Latn-BA"/>
        </w:rPr>
      </w:pPr>
    </w:p>
    <w:p w:rsidR="006C69B9" w:rsidRPr="006C69B9" w:rsidRDefault="006C69B9" w:rsidP="006C69B9">
      <w:pPr>
        <w:pBdr>
          <w:top w:val="nil"/>
          <w:left w:val="nil"/>
          <w:bottom w:val="nil"/>
          <w:right w:val="nil"/>
          <w:between w:val="nil"/>
        </w:pBdr>
        <w:jc w:val="both"/>
        <w:rPr>
          <w:rFonts w:ascii="Calibri" w:eastAsia="Calibri" w:hAnsi="Calibri" w:cs="Calibri"/>
          <w:color w:val="000000"/>
          <w:lang w:val="bs-Latn-BA"/>
        </w:rPr>
      </w:pPr>
      <w:r w:rsidRPr="006C69B9">
        <w:rPr>
          <w:rFonts w:ascii="Calibri" w:eastAsia="Calibri" w:hAnsi="Calibri" w:cs="Calibri"/>
          <w:color w:val="000000"/>
          <w:lang w:val="bs-Latn-BA"/>
        </w:rPr>
        <w:lastRenderedPageBreak/>
        <w:t>Ovi podaci, zajedno sa negativnim prirodnim priraštajem stanovništva, ukazuju da HNK kao i Federacija Bosne i Hercegovine postaju zemlja staraca što će u narednom periodu imati negativne implikacije na privredni i društveni razvoj ovog područja.</w:t>
      </w:r>
    </w:p>
    <w:p w:rsidR="006C69B9" w:rsidRPr="006C69B9" w:rsidRDefault="006C69B9" w:rsidP="006C69B9">
      <w:pPr>
        <w:pBdr>
          <w:top w:val="nil"/>
          <w:left w:val="nil"/>
          <w:bottom w:val="nil"/>
          <w:right w:val="nil"/>
          <w:between w:val="nil"/>
        </w:pBdr>
        <w:jc w:val="both"/>
        <w:rPr>
          <w:rFonts w:ascii="Calibri" w:eastAsia="Calibri" w:hAnsi="Calibri" w:cs="Calibri"/>
          <w:b/>
          <w:color w:val="FF0000"/>
          <w:lang w:val="bs-Latn-BA"/>
        </w:rPr>
      </w:pPr>
      <w:r w:rsidRPr="006C69B9">
        <w:rPr>
          <w:rFonts w:ascii="Calibri" w:eastAsia="Calibri" w:hAnsi="Calibri" w:cs="Calibri"/>
          <w:b/>
          <w:color w:val="FF0000"/>
          <w:highlight w:val="yellow"/>
          <w:lang w:val="bs-Latn-BA"/>
        </w:rPr>
        <w:t xml:space="preserve">Podaci o dijaspori </w:t>
      </w:r>
      <w:bookmarkStart w:id="3" w:name="_heading=h.3znysh7" w:colFirst="0" w:colLast="0"/>
      <w:bookmarkEnd w:id="3"/>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4" w:name="_heading=h.2et92p0" w:colFirst="0" w:colLast="0"/>
      <w:bookmarkStart w:id="5" w:name="_Toc57573202"/>
      <w:bookmarkEnd w:id="4"/>
      <w:r w:rsidRPr="006C69B9">
        <w:rPr>
          <w:rFonts w:ascii="Calibri" w:eastAsia="Calibri" w:hAnsi="Calibri" w:cs="Times New Roman"/>
          <w:b/>
          <w:bCs/>
          <w:iCs/>
          <w:color w:val="31849B"/>
          <w:sz w:val="24"/>
          <w:szCs w:val="28"/>
          <w:lang w:eastAsia="hr-HR"/>
        </w:rPr>
        <w:t>Pregled stanja i kretanja u ekonomiji uključujući i potencijale i sudjelovanje dijaspore</w:t>
      </w:r>
      <w:bookmarkEnd w:id="5"/>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br/>
        <w:t xml:space="preserve">Indeks razvijenosti kantona i jedinica lokalne samouprave je ključni pokazatelj i komparativni indikator razvoja koji se koristi u Federaciji BiH od strane Federalnog zavoda za programiranje razvoja. Za izradu indeksa razvijenosti se koriste sljedeći indikatori: prihodi od poreza na dohodak  po stanovniku, stepen zaposlenosti, kretanje stanovništva, udio starog stanovništva u ukupnom stanovništvu i stepen obrazovanja radne snage.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Prema podacima za 2019. godinu, predstavljenim u Tabeli 4.,Hercegovačko-neretvanski kanton zauzima 2. mjesto od deset kantona unutar Federacije BiH, odmah nakon Kantona Sarajevo koji je administrativno i ekonomsko sjedište ovog entiteta. HNK zauzima drugo mjesto od 2018. godine, do kada je bio treći najrazvijeniji kanton odmah nakon Kantona Sarajevo i Zapadno-hercegovačkog kantona.</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Indeks razvijenosti kantona Federacije BiH u 2019. godini</w:t>
      </w:r>
    </w:p>
    <w:tbl>
      <w:tblPr>
        <w:tblStyle w:val="MediumGrid3-Accent51"/>
        <w:tblW w:w="9214" w:type="dxa"/>
        <w:tblLayout w:type="fixed"/>
        <w:tblLook w:val="06A0"/>
      </w:tblPr>
      <w:tblGrid>
        <w:gridCol w:w="2268"/>
        <w:gridCol w:w="992"/>
        <w:gridCol w:w="1135"/>
        <w:gridCol w:w="992"/>
        <w:gridCol w:w="958"/>
        <w:gridCol w:w="1168"/>
        <w:gridCol w:w="708"/>
        <w:gridCol w:w="993"/>
      </w:tblGrid>
      <w:tr w:rsidR="006C69B9" w:rsidRPr="006C69B9" w:rsidTr="006C69B9">
        <w:trPr>
          <w:cnfStyle w:val="100000000000"/>
          <w:trHeight w:val="760"/>
        </w:trPr>
        <w:tc>
          <w:tcPr>
            <w:cnfStyle w:val="001000000000"/>
            <w:tcW w:w="2268" w:type="dxa"/>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Elementi indeksa razvijenosti</w:t>
            </w:r>
          </w:p>
        </w:tc>
        <w:tc>
          <w:tcPr>
            <w:tcW w:w="992" w:type="dxa"/>
            <w:vMerge w:val="restart"/>
            <w:tcBorders>
              <w:right w:val="nil"/>
            </w:tcBorders>
            <w:vAlign w:val="center"/>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Prihod od poreza na dohodak pc 2019</w:t>
            </w:r>
          </w:p>
        </w:tc>
        <w:tc>
          <w:tcPr>
            <w:tcW w:w="1135" w:type="dxa"/>
            <w:vMerge w:val="restart"/>
            <w:tcBorders>
              <w:top w:val="nil"/>
              <w:left w:val="nil"/>
              <w:bottom w:val="nil"/>
              <w:right w:val="nil"/>
            </w:tcBorders>
            <w:vAlign w:val="center"/>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Stopa zaposle-nosti 2019</w:t>
            </w:r>
          </w:p>
        </w:tc>
        <w:tc>
          <w:tcPr>
            <w:tcW w:w="992" w:type="dxa"/>
            <w:vMerge w:val="restart"/>
            <w:tcBorders>
              <w:top w:val="nil"/>
              <w:left w:val="nil"/>
              <w:bottom w:val="nil"/>
              <w:right w:val="nil"/>
            </w:tcBorders>
            <w:vAlign w:val="center"/>
          </w:tcPr>
          <w:p w:rsidR="006C69B9" w:rsidRPr="006C69B9" w:rsidRDefault="006C69B9" w:rsidP="006C69B9">
            <w:pPr>
              <w:spacing w:after="120"/>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Kretanje stanovništva 2013-2019</w:t>
            </w:r>
          </w:p>
        </w:tc>
        <w:tc>
          <w:tcPr>
            <w:tcW w:w="958" w:type="dxa"/>
            <w:vMerge w:val="restart"/>
            <w:tcBorders>
              <w:top w:val="nil"/>
              <w:left w:val="nil"/>
              <w:bottom w:val="nil"/>
              <w:right w:val="nil"/>
            </w:tcBorders>
            <w:vAlign w:val="center"/>
          </w:tcPr>
          <w:p w:rsidR="006C69B9" w:rsidRPr="006C69B9" w:rsidRDefault="006C69B9" w:rsidP="006C69B9">
            <w:pPr>
              <w:spacing w:after="120"/>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Učešće starog stanovništva 2013-2019</w:t>
            </w:r>
          </w:p>
        </w:tc>
        <w:tc>
          <w:tcPr>
            <w:tcW w:w="1168" w:type="dxa"/>
            <w:vMerge w:val="restart"/>
            <w:tcBorders>
              <w:top w:val="nil"/>
              <w:left w:val="nil"/>
              <w:bottom w:val="nil"/>
              <w:right w:val="nil"/>
            </w:tcBorders>
            <w:vAlign w:val="center"/>
          </w:tcPr>
          <w:p w:rsidR="006C69B9" w:rsidRPr="006C69B9" w:rsidRDefault="006C69B9" w:rsidP="006C69B9">
            <w:pPr>
              <w:spacing w:after="120"/>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Stopa obrazovanja stanovništva 2019.</w:t>
            </w:r>
          </w:p>
        </w:tc>
        <w:tc>
          <w:tcPr>
            <w:tcW w:w="708" w:type="dxa"/>
            <w:vMerge w:val="restart"/>
            <w:tcBorders>
              <w:top w:val="nil"/>
              <w:left w:val="nil"/>
              <w:bottom w:val="nil"/>
              <w:right w:val="nil"/>
            </w:tcBorders>
            <w:vAlign w:val="center"/>
          </w:tcPr>
          <w:p w:rsidR="006C69B9" w:rsidRPr="006C69B9" w:rsidRDefault="006C69B9" w:rsidP="006C69B9">
            <w:pPr>
              <w:spacing w:after="120"/>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Indeks 2019</w:t>
            </w:r>
          </w:p>
        </w:tc>
        <w:tc>
          <w:tcPr>
            <w:tcW w:w="993" w:type="dxa"/>
            <w:vMerge w:val="restart"/>
            <w:tcBorders>
              <w:top w:val="nil"/>
              <w:left w:val="nil"/>
              <w:bottom w:val="nil"/>
              <w:right w:val="nil"/>
            </w:tcBorders>
            <w:vAlign w:val="center"/>
          </w:tcPr>
          <w:p w:rsidR="006C69B9" w:rsidRPr="006C69B9" w:rsidRDefault="006C69B9" w:rsidP="006C69B9">
            <w:pPr>
              <w:spacing w:after="120"/>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Rang</w:t>
            </w:r>
          </w:p>
        </w:tc>
      </w:tr>
      <w:tr w:rsidR="006C69B9" w:rsidRPr="006C69B9" w:rsidTr="006C69B9">
        <w:trPr>
          <w:trHeight w:val="240"/>
        </w:trPr>
        <w:tc>
          <w:tcPr>
            <w:cnfStyle w:val="001000000000"/>
            <w:tcW w:w="2268" w:type="dxa"/>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Kanton</w:t>
            </w:r>
          </w:p>
        </w:tc>
        <w:tc>
          <w:tcPr>
            <w:tcW w:w="992" w:type="dxa"/>
            <w:vMerge/>
            <w:tcBorders>
              <w:right w:val="nil"/>
            </w:tcBorders>
          </w:tcPr>
          <w:p w:rsidR="006C69B9" w:rsidRPr="006C69B9" w:rsidRDefault="006C69B9" w:rsidP="006C69B9">
            <w:pPr>
              <w:widowControl w:val="0"/>
              <w:pBdr>
                <w:top w:val="nil"/>
                <w:left w:val="nil"/>
                <w:bottom w:val="nil"/>
                <w:right w:val="nil"/>
                <w:between w:val="nil"/>
              </w:pBdr>
              <w:spacing w:line="276" w:lineRule="auto"/>
              <w:cnfStyle w:val="000000000000"/>
              <w:rPr>
                <w:rFonts w:ascii="Calibri" w:eastAsia="Calibri" w:hAnsi="Calibri" w:cs="Times New Roman"/>
                <w:color w:val="000000"/>
                <w:sz w:val="18"/>
                <w:szCs w:val="18"/>
                <w:lang w:val="bs-Latn-BA"/>
              </w:rPr>
            </w:pPr>
          </w:p>
        </w:tc>
        <w:tc>
          <w:tcPr>
            <w:tcW w:w="1135" w:type="dxa"/>
            <w:vMerge/>
            <w:tcBorders>
              <w:top w:val="nil"/>
              <w:left w:val="nil"/>
              <w:bottom w:val="nil"/>
              <w:right w:val="nil"/>
            </w:tcBorders>
          </w:tcPr>
          <w:p w:rsidR="006C69B9" w:rsidRPr="006C69B9" w:rsidRDefault="006C69B9" w:rsidP="006C69B9">
            <w:pPr>
              <w:widowControl w:val="0"/>
              <w:pBdr>
                <w:top w:val="nil"/>
                <w:left w:val="nil"/>
                <w:bottom w:val="nil"/>
                <w:right w:val="nil"/>
                <w:between w:val="nil"/>
              </w:pBdr>
              <w:spacing w:line="276" w:lineRule="auto"/>
              <w:cnfStyle w:val="000000000000"/>
              <w:rPr>
                <w:rFonts w:ascii="Calibri" w:eastAsia="Calibri" w:hAnsi="Calibri" w:cs="Times New Roman"/>
                <w:color w:val="000000"/>
                <w:sz w:val="18"/>
                <w:szCs w:val="18"/>
                <w:lang w:val="bs-Latn-BA"/>
              </w:rPr>
            </w:pPr>
          </w:p>
        </w:tc>
        <w:tc>
          <w:tcPr>
            <w:tcW w:w="992" w:type="dxa"/>
            <w:vMerge/>
            <w:tcBorders>
              <w:top w:val="nil"/>
              <w:left w:val="nil"/>
              <w:bottom w:val="nil"/>
              <w:right w:val="nil"/>
            </w:tcBorders>
          </w:tcPr>
          <w:p w:rsidR="006C69B9" w:rsidRPr="006C69B9" w:rsidRDefault="006C69B9" w:rsidP="006C69B9">
            <w:pPr>
              <w:widowControl w:val="0"/>
              <w:pBdr>
                <w:top w:val="nil"/>
                <w:left w:val="nil"/>
                <w:bottom w:val="nil"/>
                <w:right w:val="nil"/>
                <w:between w:val="nil"/>
              </w:pBdr>
              <w:spacing w:line="276" w:lineRule="auto"/>
              <w:cnfStyle w:val="000000000000"/>
              <w:rPr>
                <w:rFonts w:ascii="Calibri" w:eastAsia="Calibri" w:hAnsi="Calibri" w:cs="Times New Roman"/>
                <w:color w:val="000000"/>
                <w:sz w:val="18"/>
                <w:szCs w:val="18"/>
                <w:lang w:val="bs-Latn-BA"/>
              </w:rPr>
            </w:pPr>
          </w:p>
        </w:tc>
        <w:tc>
          <w:tcPr>
            <w:tcW w:w="958" w:type="dxa"/>
            <w:vMerge/>
            <w:tcBorders>
              <w:top w:val="nil"/>
              <w:left w:val="nil"/>
              <w:bottom w:val="nil"/>
              <w:right w:val="nil"/>
            </w:tcBorders>
          </w:tcPr>
          <w:p w:rsidR="006C69B9" w:rsidRPr="006C69B9" w:rsidRDefault="006C69B9" w:rsidP="006C69B9">
            <w:pPr>
              <w:widowControl w:val="0"/>
              <w:pBdr>
                <w:top w:val="nil"/>
                <w:left w:val="nil"/>
                <w:bottom w:val="nil"/>
                <w:right w:val="nil"/>
                <w:between w:val="nil"/>
              </w:pBdr>
              <w:spacing w:line="276" w:lineRule="auto"/>
              <w:cnfStyle w:val="000000000000"/>
              <w:rPr>
                <w:rFonts w:ascii="Calibri" w:eastAsia="Calibri" w:hAnsi="Calibri" w:cs="Times New Roman"/>
                <w:color w:val="000000"/>
                <w:sz w:val="18"/>
                <w:szCs w:val="18"/>
                <w:lang w:val="bs-Latn-BA"/>
              </w:rPr>
            </w:pPr>
          </w:p>
        </w:tc>
        <w:tc>
          <w:tcPr>
            <w:tcW w:w="1168" w:type="dxa"/>
            <w:vMerge/>
            <w:tcBorders>
              <w:top w:val="nil"/>
              <w:left w:val="nil"/>
              <w:bottom w:val="nil"/>
              <w:right w:val="nil"/>
            </w:tcBorders>
          </w:tcPr>
          <w:p w:rsidR="006C69B9" w:rsidRPr="006C69B9" w:rsidRDefault="006C69B9" w:rsidP="006C69B9">
            <w:pPr>
              <w:widowControl w:val="0"/>
              <w:pBdr>
                <w:top w:val="nil"/>
                <w:left w:val="nil"/>
                <w:bottom w:val="nil"/>
                <w:right w:val="nil"/>
                <w:between w:val="nil"/>
              </w:pBdr>
              <w:spacing w:line="276" w:lineRule="auto"/>
              <w:cnfStyle w:val="000000000000"/>
              <w:rPr>
                <w:rFonts w:ascii="Calibri" w:eastAsia="Calibri" w:hAnsi="Calibri" w:cs="Times New Roman"/>
                <w:color w:val="000000"/>
                <w:sz w:val="18"/>
                <w:szCs w:val="18"/>
                <w:lang w:val="bs-Latn-BA"/>
              </w:rPr>
            </w:pPr>
          </w:p>
        </w:tc>
        <w:tc>
          <w:tcPr>
            <w:tcW w:w="708" w:type="dxa"/>
            <w:vMerge/>
            <w:tcBorders>
              <w:top w:val="nil"/>
              <w:left w:val="nil"/>
              <w:bottom w:val="nil"/>
              <w:right w:val="nil"/>
            </w:tcBorders>
          </w:tcPr>
          <w:p w:rsidR="006C69B9" w:rsidRPr="006C69B9" w:rsidRDefault="006C69B9" w:rsidP="006C69B9">
            <w:pPr>
              <w:widowControl w:val="0"/>
              <w:pBdr>
                <w:top w:val="nil"/>
                <w:left w:val="nil"/>
                <w:bottom w:val="nil"/>
                <w:right w:val="nil"/>
                <w:between w:val="nil"/>
              </w:pBdr>
              <w:spacing w:line="276" w:lineRule="auto"/>
              <w:cnfStyle w:val="000000000000"/>
              <w:rPr>
                <w:rFonts w:ascii="Calibri" w:eastAsia="Calibri" w:hAnsi="Calibri" w:cs="Times New Roman"/>
                <w:color w:val="000000"/>
                <w:sz w:val="18"/>
                <w:szCs w:val="18"/>
                <w:lang w:val="bs-Latn-BA"/>
              </w:rPr>
            </w:pPr>
          </w:p>
        </w:tc>
        <w:tc>
          <w:tcPr>
            <w:tcW w:w="993" w:type="dxa"/>
            <w:vMerge/>
            <w:tcBorders>
              <w:top w:val="nil"/>
              <w:left w:val="nil"/>
              <w:bottom w:val="nil"/>
              <w:right w:val="nil"/>
            </w:tcBorders>
          </w:tcPr>
          <w:p w:rsidR="006C69B9" w:rsidRPr="006C69B9" w:rsidRDefault="006C69B9" w:rsidP="006C69B9">
            <w:pPr>
              <w:widowControl w:val="0"/>
              <w:pBdr>
                <w:top w:val="nil"/>
                <w:left w:val="nil"/>
                <w:bottom w:val="nil"/>
                <w:right w:val="nil"/>
                <w:between w:val="nil"/>
              </w:pBdr>
              <w:spacing w:line="276" w:lineRule="auto"/>
              <w:cnfStyle w:val="000000000000"/>
              <w:rPr>
                <w:rFonts w:ascii="Calibri" w:eastAsia="Calibri" w:hAnsi="Calibri" w:cs="Times New Roman"/>
                <w:color w:val="000000"/>
                <w:sz w:val="18"/>
                <w:szCs w:val="18"/>
                <w:lang w:val="bs-Latn-BA"/>
              </w:rPr>
            </w:pP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 xml:space="preserve">Kanton Sarajevo </w:t>
            </w:r>
          </w:p>
        </w:tc>
        <w:tc>
          <w:tcPr>
            <w:tcW w:w="992"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3,15</w:t>
            </w:r>
          </w:p>
        </w:tc>
        <w:tc>
          <w:tcPr>
            <w:tcW w:w="1135" w:type="dxa"/>
            <w:tcBorders>
              <w:top w:val="nil"/>
            </w:tcBorders>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2,31</w:t>
            </w:r>
          </w:p>
        </w:tc>
        <w:tc>
          <w:tcPr>
            <w:tcW w:w="992" w:type="dxa"/>
            <w:tcBorders>
              <w:top w:val="nil"/>
            </w:tcBorders>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1,83</w:t>
            </w:r>
          </w:p>
        </w:tc>
        <w:tc>
          <w:tcPr>
            <w:tcW w:w="958" w:type="dxa"/>
            <w:tcBorders>
              <w:top w:val="nil"/>
            </w:tcBorders>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0,79</w:t>
            </w:r>
          </w:p>
        </w:tc>
        <w:tc>
          <w:tcPr>
            <w:tcW w:w="1168" w:type="dxa"/>
            <w:tcBorders>
              <w:top w:val="nil"/>
            </w:tcBorders>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1,47</w:t>
            </w:r>
          </w:p>
        </w:tc>
        <w:tc>
          <w:tcPr>
            <w:tcW w:w="708" w:type="dxa"/>
            <w:tcBorders>
              <w:top w:val="nil"/>
            </w:tcBorders>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2,03</w:t>
            </w:r>
          </w:p>
        </w:tc>
        <w:tc>
          <w:tcPr>
            <w:tcW w:w="993" w:type="dxa"/>
            <w:tcBorders>
              <w:top w:val="nil"/>
            </w:tcBorders>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 xml:space="preserve">Hercegovačko-neretvanski kanton </w:t>
            </w:r>
          </w:p>
        </w:tc>
        <w:tc>
          <w:tcPr>
            <w:tcW w:w="992"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1,36</w:t>
            </w:r>
          </w:p>
        </w:tc>
        <w:tc>
          <w:tcPr>
            <w:tcW w:w="1135"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1,19</w:t>
            </w:r>
          </w:p>
        </w:tc>
        <w:tc>
          <w:tcPr>
            <w:tcW w:w="992"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0,73</w:t>
            </w:r>
          </w:p>
        </w:tc>
        <w:tc>
          <w:tcPr>
            <w:tcW w:w="958"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0,55</w:t>
            </w:r>
          </w:p>
        </w:tc>
        <w:tc>
          <w:tcPr>
            <w:tcW w:w="1168"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1,46</w:t>
            </w:r>
          </w:p>
        </w:tc>
        <w:tc>
          <w:tcPr>
            <w:tcW w:w="708"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1,1</w:t>
            </w:r>
          </w:p>
        </w:tc>
        <w:tc>
          <w:tcPr>
            <w:tcW w:w="993" w:type="dxa"/>
            <w:shd w:val="clear" w:color="auto" w:fill="4BACC6"/>
            <w:vAlign w:val="center"/>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 xml:space="preserve">Bosansko-podrinjski kanton </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1,29</w:t>
            </w:r>
          </w:p>
        </w:tc>
        <w:tc>
          <w:tcPr>
            <w:tcW w:w="1135"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1,78</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0,55</w:t>
            </w:r>
          </w:p>
        </w:tc>
        <w:tc>
          <w:tcPr>
            <w:tcW w:w="95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0,32</w:t>
            </w:r>
          </w:p>
        </w:tc>
        <w:tc>
          <w:tcPr>
            <w:tcW w:w="116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1,17</w:t>
            </w:r>
          </w:p>
        </w:tc>
        <w:tc>
          <w:tcPr>
            <w:tcW w:w="70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1,07</w:t>
            </w:r>
          </w:p>
        </w:tc>
        <w:tc>
          <w:tcPr>
            <w:tcW w:w="993"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Zapadnohercegovački kanton</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0,77</w:t>
            </w:r>
          </w:p>
        </w:tc>
        <w:tc>
          <w:tcPr>
            <w:tcW w:w="1135"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0,79</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0,92</w:t>
            </w:r>
          </w:p>
        </w:tc>
        <w:tc>
          <w:tcPr>
            <w:tcW w:w="95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0,77</w:t>
            </w:r>
          </w:p>
        </w:tc>
        <w:tc>
          <w:tcPr>
            <w:tcW w:w="116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2,00</w:t>
            </w:r>
          </w:p>
        </w:tc>
        <w:tc>
          <w:tcPr>
            <w:tcW w:w="70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1,05</w:t>
            </w:r>
          </w:p>
        </w:tc>
        <w:tc>
          <w:tcPr>
            <w:tcW w:w="993"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4</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Zeničko-dobojski kanton</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0,48</w:t>
            </w:r>
          </w:p>
        </w:tc>
        <w:tc>
          <w:tcPr>
            <w:tcW w:w="1135"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0,94</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0,90</w:t>
            </w:r>
          </w:p>
        </w:tc>
        <w:tc>
          <w:tcPr>
            <w:tcW w:w="95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1,26</w:t>
            </w:r>
          </w:p>
        </w:tc>
        <w:tc>
          <w:tcPr>
            <w:tcW w:w="116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0,81</w:t>
            </w:r>
          </w:p>
        </w:tc>
        <w:tc>
          <w:tcPr>
            <w:tcW w:w="70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0,84</w:t>
            </w:r>
          </w:p>
        </w:tc>
        <w:tc>
          <w:tcPr>
            <w:tcW w:w="993"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5</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Hercegovačko-neretvanski kanton</w:t>
            </w:r>
          </w:p>
        </w:tc>
        <w:tc>
          <w:tcPr>
            <w:tcW w:w="992"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0,53</w:t>
            </w:r>
          </w:p>
        </w:tc>
        <w:tc>
          <w:tcPr>
            <w:tcW w:w="1135"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0,85</w:t>
            </w:r>
          </w:p>
        </w:tc>
        <w:tc>
          <w:tcPr>
            <w:tcW w:w="992"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0,98</w:t>
            </w:r>
          </w:p>
        </w:tc>
        <w:tc>
          <w:tcPr>
            <w:tcW w:w="958"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1,03</w:t>
            </w:r>
          </w:p>
        </w:tc>
        <w:tc>
          <w:tcPr>
            <w:tcW w:w="1168"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0,78</w:t>
            </w:r>
          </w:p>
        </w:tc>
        <w:tc>
          <w:tcPr>
            <w:tcW w:w="708"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0,81</w:t>
            </w:r>
          </w:p>
        </w:tc>
        <w:tc>
          <w:tcPr>
            <w:tcW w:w="993" w:type="dxa"/>
            <w:vAlign w:val="center"/>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 xml:space="preserve">Srednjobosanski kanton </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0,20</w:t>
            </w:r>
          </w:p>
        </w:tc>
        <w:tc>
          <w:tcPr>
            <w:tcW w:w="1135"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0,63</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0,84</w:t>
            </w:r>
          </w:p>
        </w:tc>
        <w:tc>
          <w:tcPr>
            <w:tcW w:w="95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1,30</w:t>
            </w:r>
          </w:p>
        </w:tc>
        <w:tc>
          <w:tcPr>
            <w:tcW w:w="116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0,73</w:t>
            </w:r>
          </w:p>
        </w:tc>
        <w:tc>
          <w:tcPr>
            <w:tcW w:w="70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0,68</w:t>
            </w:r>
          </w:p>
        </w:tc>
        <w:tc>
          <w:tcPr>
            <w:tcW w:w="993"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7</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 xml:space="preserve">Unsko-sanski kanton </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0,04</w:t>
            </w:r>
          </w:p>
        </w:tc>
        <w:tc>
          <w:tcPr>
            <w:tcW w:w="1135"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0,00</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0,82</w:t>
            </w:r>
          </w:p>
        </w:tc>
        <w:tc>
          <w:tcPr>
            <w:tcW w:w="95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1,52</w:t>
            </w:r>
          </w:p>
        </w:tc>
        <w:tc>
          <w:tcPr>
            <w:tcW w:w="116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0,00</w:t>
            </w:r>
          </w:p>
        </w:tc>
        <w:tc>
          <w:tcPr>
            <w:tcW w:w="70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0,40</w:t>
            </w:r>
          </w:p>
        </w:tc>
        <w:tc>
          <w:tcPr>
            <w:tcW w:w="993"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8</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 xml:space="preserve">Posavski kanton </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0,15</w:t>
            </w:r>
          </w:p>
        </w:tc>
        <w:tc>
          <w:tcPr>
            <w:tcW w:w="1135"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0,15</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0,01</w:t>
            </w:r>
          </w:p>
        </w:tc>
        <w:tc>
          <w:tcPr>
            <w:tcW w:w="95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0,61</w:t>
            </w:r>
          </w:p>
        </w:tc>
        <w:tc>
          <w:tcPr>
            <w:tcW w:w="116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0,59</w:t>
            </w:r>
          </w:p>
        </w:tc>
        <w:tc>
          <w:tcPr>
            <w:tcW w:w="70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0,28</w:t>
            </w:r>
          </w:p>
        </w:tc>
        <w:tc>
          <w:tcPr>
            <w:tcW w:w="993"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w:t>
            </w:r>
          </w:p>
        </w:tc>
      </w:tr>
      <w:tr w:rsidR="006C69B9" w:rsidRPr="006C69B9" w:rsidTr="006C69B9">
        <w:trPr>
          <w:trHeight w:val="240"/>
        </w:trPr>
        <w:tc>
          <w:tcPr>
            <w:cnfStyle w:val="001000000000"/>
            <w:tcW w:w="2268" w:type="dxa"/>
            <w:vAlign w:val="center"/>
          </w:tcPr>
          <w:p w:rsidR="006C69B9" w:rsidRPr="006C69B9" w:rsidRDefault="006C69B9" w:rsidP="006C69B9">
            <w:pPr>
              <w:pBdr>
                <w:top w:val="nil"/>
                <w:left w:val="nil"/>
                <w:bottom w:val="nil"/>
                <w:right w:val="nil"/>
                <w:between w:val="nil"/>
              </w:pBdr>
              <w:rPr>
                <w:rFonts w:ascii="Calibri" w:eastAsia="Calibri" w:hAnsi="Calibri" w:cs="Calibri"/>
                <w:sz w:val="18"/>
                <w:szCs w:val="18"/>
                <w:lang w:val="bs-Latn-BA"/>
              </w:rPr>
            </w:pPr>
            <w:r w:rsidRPr="006C69B9">
              <w:rPr>
                <w:rFonts w:ascii="Calibri" w:eastAsia="Calibri" w:hAnsi="Calibri" w:cs="Calibri"/>
                <w:sz w:val="18"/>
                <w:szCs w:val="18"/>
                <w:lang w:val="bs-Latn-BA"/>
              </w:rPr>
              <w:t>Kanton 10</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0,00</w:t>
            </w:r>
          </w:p>
        </w:tc>
        <w:tc>
          <w:tcPr>
            <w:tcW w:w="1135"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0,01</w:t>
            </w:r>
          </w:p>
        </w:tc>
        <w:tc>
          <w:tcPr>
            <w:tcW w:w="992"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0,00</w:t>
            </w:r>
          </w:p>
        </w:tc>
        <w:tc>
          <w:tcPr>
            <w:tcW w:w="95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0,00</w:t>
            </w:r>
          </w:p>
        </w:tc>
        <w:tc>
          <w:tcPr>
            <w:tcW w:w="116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1,34</w:t>
            </w:r>
          </w:p>
        </w:tc>
        <w:tc>
          <w:tcPr>
            <w:tcW w:w="708"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0,27</w:t>
            </w:r>
          </w:p>
        </w:tc>
        <w:tc>
          <w:tcPr>
            <w:tcW w:w="993" w:type="dxa"/>
            <w:vAlign w:val="center"/>
          </w:tcPr>
          <w:p w:rsidR="006C69B9" w:rsidRPr="006C69B9" w:rsidRDefault="006C69B9" w:rsidP="006C69B9">
            <w:pPr>
              <w:pBdr>
                <w:top w:val="nil"/>
                <w:left w:val="nil"/>
                <w:bottom w:val="nil"/>
                <w:right w:val="nil"/>
                <w:between w:val="nil"/>
              </w:pBd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10</w:t>
            </w:r>
          </w:p>
        </w:tc>
      </w:tr>
    </w:tbl>
    <w:p w:rsidR="006C69B9" w:rsidRPr="006C69B9" w:rsidRDefault="006C69B9" w:rsidP="006C69B9">
      <w:pPr>
        <w:pBdr>
          <w:top w:val="nil"/>
          <w:left w:val="nil"/>
          <w:bottom w:val="nil"/>
          <w:right w:val="nil"/>
          <w:between w:val="nil"/>
        </w:pBdr>
        <w:spacing w:after="0" w:line="240" w:lineRule="auto"/>
        <w:rPr>
          <w:rFonts w:ascii="Calibri" w:eastAsia="Calibri" w:hAnsi="Calibri" w:cs="Calibri"/>
          <w:i/>
          <w:color w:val="000000"/>
          <w:sz w:val="16"/>
          <w:szCs w:val="16"/>
          <w:lang w:val="bs-Latn-BA"/>
        </w:rPr>
      </w:pPr>
      <w:r w:rsidRPr="006C69B9">
        <w:rPr>
          <w:rFonts w:ascii="Calibri" w:eastAsia="Calibri" w:hAnsi="Calibri" w:cs="Calibri"/>
          <w:i/>
          <w:color w:val="000000"/>
          <w:sz w:val="16"/>
          <w:szCs w:val="16"/>
          <w:lang w:val="bs-Latn-BA"/>
        </w:rPr>
        <w:t>Izvor podataka: Federalni zavod za programiranje razvoja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br/>
        <w:t>Ako se posmatraju poreski prihodi u Hercegovačko-neretvanskom kantonu, u 2019. godini ostvareni su poreski prihodi u iznosu od 47.583.646 KM, što je u odnosu na 2018. godinu porast od 2,9 %. Najviši poreski prihodi u HNK ostvareni su u Mostaru u iznosu od 31,10 mil. KM, a najniži u općini Ravno u iznosu od 79.500 KM.</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5</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Poreski prihodi Hercegovačko-neretvanskog kantona i Federacije BiH za 2019. godinu</w:t>
      </w:r>
    </w:p>
    <w:tbl>
      <w:tblPr>
        <w:tblStyle w:val="MediumGrid3-Accent51"/>
        <w:tblW w:w="9062" w:type="dxa"/>
        <w:jc w:val="center"/>
        <w:tblLayout w:type="fixed"/>
        <w:tblLook w:val="06A0"/>
      </w:tblPr>
      <w:tblGrid>
        <w:gridCol w:w="1808"/>
        <w:gridCol w:w="1819"/>
        <w:gridCol w:w="1815"/>
        <w:gridCol w:w="1810"/>
        <w:gridCol w:w="1810"/>
      </w:tblGrid>
      <w:tr w:rsidR="006C69B9" w:rsidRPr="006C69B9" w:rsidTr="006C69B9">
        <w:trPr>
          <w:cnfStyle w:val="100000000000"/>
          <w:jc w:val="center"/>
        </w:trPr>
        <w:tc>
          <w:tcPr>
            <w:cnfStyle w:val="001000000000"/>
            <w:tcW w:w="1808" w:type="dxa"/>
            <w:vAlign w:val="center"/>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Kanton</w:t>
            </w:r>
          </w:p>
        </w:tc>
        <w:tc>
          <w:tcPr>
            <w:tcW w:w="1819" w:type="dxa"/>
            <w:vAlign w:val="center"/>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Stanovništvo</w:t>
            </w:r>
          </w:p>
        </w:tc>
        <w:tc>
          <w:tcPr>
            <w:tcW w:w="1815" w:type="dxa"/>
            <w:vAlign w:val="center"/>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Prihodi u KM</w:t>
            </w:r>
          </w:p>
        </w:tc>
        <w:tc>
          <w:tcPr>
            <w:tcW w:w="1810" w:type="dxa"/>
            <w:vAlign w:val="center"/>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Prihodi/PC u KM</w:t>
            </w:r>
          </w:p>
        </w:tc>
        <w:tc>
          <w:tcPr>
            <w:tcW w:w="1810" w:type="dxa"/>
            <w:vAlign w:val="center"/>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Prihodi/PC u KM FBIH=100</w:t>
            </w:r>
          </w:p>
        </w:tc>
      </w:tr>
      <w:tr w:rsidR="006C69B9" w:rsidRPr="006C69B9" w:rsidTr="006C69B9">
        <w:trPr>
          <w:jc w:val="center"/>
        </w:trPr>
        <w:tc>
          <w:tcPr>
            <w:cnfStyle w:val="001000000000"/>
            <w:tcW w:w="1808" w:type="dxa"/>
          </w:tcPr>
          <w:p w:rsidR="006C69B9" w:rsidRPr="006C69B9" w:rsidRDefault="006C69B9" w:rsidP="006C69B9">
            <w:pPr>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HNK</w:t>
            </w:r>
          </w:p>
        </w:tc>
        <w:tc>
          <w:tcPr>
            <w:tcW w:w="1819"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216.970</w:t>
            </w:r>
          </w:p>
        </w:tc>
        <w:tc>
          <w:tcPr>
            <w:tcW w:w="1815"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47.583.646</w:t>
            </w:r>
          </w:p>
        </w:tc>
        <w:tc>
          <w:tcPr>
            <w:tcW w:w="1810"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219,3</w:t>
            </w:r>
          </w:p>
        </w:tc>
        <w:tc>
          <w:tcPr>
            <w:tcW w:w="1810" w:type="dxa"/>
          </w:tcPr>
          <w:p w:rsidR="006C69B9" w:rsidRPr="006C69B9" w:rsidRDefault="006C69B9" w:rsidP="006C69B9">
            <w:pPr>
              <w:jc w:val="right"/>
              <w:cnfStyle w:val="000000000000"/>
              <w:rPr>
                <w:rFonts w:ascii="Calibri" w:eastAsia="Calibri" w:hAnsi="Calibri" w:cs="Times New Roman"/>
                <w:sz w:val="20"/>
                <w:szCs w:val="20"/>
                <w:highlight w:val="yellow"/>
                <w:lang w:val="bs-Latn-BA"/>
              </w:rPr>
            </w:pPr>
            <w:r w:rsidRPr="006C69B9">
              <w:rPr>
                <w:rFonts w:ascii="Calibri" w:eastAsia="Calibri" w:hAnsi="Calibri" w:cs="Times New Roman"/>
                <w:sz w:val="20"/>
                <w:szCs w:val="20"/>
                <w:lang w:val="bs-Latn-BA"/>
              </w:rPr>
              <w:t>118</w:t>
            </w:r>
          </w:p>
        </w:tc>
      </w:tr>
      <w:tr w:rsidR="006C69B9" w:rsidRPr="006C69B9" w:rsidTr="006C69B9">
        <w:trPr>
          <w:jc w:val="center"/>
        </w:trPr>
        <w:tc>
          <w:tcPr>
            <w:cnfStyle w:val="001000000000"/>
            <w:tcW w:w="1808" w:type="dxa"/>
          </w:tcPr>
          <w:p w:rsidR="006C69B9" w:rsidRPr="006C69B9" w:rsidRDefault="006C69B9" w:rsidP="006C69B9">
            <w:pPr>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Federacija BiH</w:t>
            </w:r>
          </w:p>
        </w:tc>
        <w:tc>
          <w:tcPr>
            <w:tcW w:w="1819"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2.190.098</w:t>
            </w:r>
          </w:p>
        </w:tc>
        <w:tc>
          <w:tcPr>
            <w:tcW w:w="1815"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427.995.851</w:t>
            </w:r>
          </w:p>
        </w:tc>
        <w:tc>
          <w:tcPr>
            <w:tcW w:w="1810"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195,4</w:t>
            </w:r>
          </w:p>
        </w:tc>
        <w:tc>
          <w:tcPr>
            <w:tcW w:w="1810" w:type="dxa"/>
          </w:tcPr>
          <w:p w:rsidR="006C69B9" w:rsidRPr="006C69B9" w:rsidRDefault="006C69B9" w:rsidP="006C69B9">
            <w:pPr>
              <w:jc w:val="right"/>
              <w:cnfStyle w:val="000000000000"/>
              <w:rPr>
                <w:rFonts w:ascii="Calibri" w:eastAsia="Calibri" w:hAnsi="Calibri" w:cs="Times New Roman"/>
                <w:sz w:val="20"/>
                <w:szCs w:val="20"/>
                <w:highlight w:val="yellow"/>
                <w:lang w:val="bs-Latn-BA"/>
              </w:rPr>
            </w:pPr>
            <w:r w:rsidRPr="006C69B9">
              <w:rPr>
                <w:rFonts w:ascii="Calibri" w:eastAsia="Calibri" w:hAnsi="Calibri" w:cs="Times New Roman"/>
                <w:sz w:val="20"/>
                <w:szCs w:val="20"/>
                <w:lang w:val="bs-Latn-BA"/>
              </w:rPr>
              <w:t>100</w:t>
            </w:r>
          </w:p>
        </w:tc>
      </w:tr>
    </w:tbl>
    <w:p w:rsidR="006C69B9" w:rsidRPr="006C69B9" w:rsidRDefault="006C69B9" w:rsidP="006C69B9">
      <w:pPr>
        <w:spacing w:after="0"/>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Porezna uprava Federacije BiH</w:t>
      </w:r>
    </w:p>
    <w:p w:rsidR="006C69B9" w:rsidRPr="006C69B9" w:rsidRDefault="006C69B9" w:rsidP="006C69B9">
      <w:pPr>
        <w:spacing w:after="0"/>
        <w:rPr>
          <w:rFonts w:ascii="Calibri" w:eastAsia="Calibri" w:hAnsi="Calibri" w:cs="Times New Roman"/>
          <w:b/>
          <w:i/>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Poreski prihodi po glavi stanovnika (prisutni broj stanovnika) u Hercegovačko-neretvanskom kantonu u 2019. godini iznosili su 219,3 KM te su kontinuirano iznad prosjeka F BiH u posmatranom periodu. </w:t>
      </w:r>
      <w:r w:rsidRPr="006C69B9">
        <w:rPr>
          <w:rFonts w:ascii="Calibri" w:eastAsia="Calibri" w:hAnsi="Calibri" w:cs="Times New Roman"/>
          <w:lang w:val="bs-Latn-BA"/>
        </w:rPr>
        <w:lastRenderedPageBreak/>
        <w:t xml:space="preserve">Ukoliko se posmatra kretanje osnovnih indikatora razvoja HNK u periodu 2016.-2019. godina, može se zaključiti da kantonbilježi pozitivan trend u većini indikatora uključujući iznos poreskih prihoda po stanovniku, zaposlenost, poduzetnička aktivnost, plaće i mirovine, kako će biti elaborirano detaljnije u nastavku (Tabela 6).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6</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Osnovni indikatori razvoja Hercegovačko-neretvanskog kantona i Federacije BiH, </w:t>
      </w:r>
      <w:r w:rsidRPr="006C69B9">
        <w:rPr>
          <w:rFonts w:ascii="Calibri" w:eastAsia="Calibri" w:hAnsi="Calibri" w:cs="Calibri Light"/>
          <w:bCs/>
          <w:i/>
          <w:color w:val="31849B"/>
          <w:sz w:val="20"/>
        </w:rPr>
        <w:br/>
        <w:t>u periodu 2016.-2019. godina</w:t>
      </w:r>
    </w:p>
    <w:tbl>
      <w:tblPr>
        <w:tblStyle w:val="MediumGrid3-Accent51"/>
        <w:tblW w:w="9395" w:type="dxa"/>
        <w:tblLayout w:type="fixed"/>
        <w:tblLook w:val="06A0"/>
      </w:tblPr>
      <w:tblGrid>
        <w:gridCol w:w="2370"/>
        <w:gridCol w:w="879"/>
        <w:gridCol w:w="878"/>
        <w:gridCol w:w="878"/>
        <w:gridCol w:w="878"/>
        <w:gridCol w:w="878"/>
        <w:gridCol w:w="878"/>
        <w:gridCol w:w="878"/>
        <w:gridCol w:w="878"/>
      </w:tblGrid>
      <w:tr w:rsidR="00F85905" w:rsidRPr="006C69B9" w:rsidTr="006C69B9">
        <w:trPr>
          <w:cnfStyle w:val="100000000000"/>
          <w:trHeight w:val="244"/>
        </w:trPr>
        <w:tc>
          <w:tcPr>
            <w:cnfStyle w:val="001000000000"/>
            <w:tcW w:w="2371" w:type="dxa"/>
            <w:vMerge w:val="restart"/>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Elementi</w:t>
            </w:r>
          </w:p>
        </w:tc>
        <w:tc>
          <w:tcPr>
            <w:tcW w:w="3513" w:type="dxa"/>
            <w:gridSpan w:val="4"/>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Hercegovačko-neretvanski kanton</w:t>
            </w:r>
          </w:p>
        </w:tc>
        <w:tc>
          <w:tcPr>
            <w:tcW w:w="3512" w:type="dxa"/>
            <w:gridSpan w:val="4"/>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Federacija BiH</w:t>
            </w:r>
          </w:p>
        </w:tc>
      </w:tr>
      <w:tr w:rsidR="00F85905" w:rsidRPr="006C69B9" w:rsidTr="006C69B9">
        <w:trPr>
          <w:trHeight w:val="20"/>
        </w:trPr>
        <w:tc>
          <w:tcPr>
            <w:cnfStyle w:val="001000000000"/>
            <w:tcW w:w="2371"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18"/>
                <w:szCs w:val="18"/>
                <w:lang w:val="bs-Latn-BA"/>
              </w:rPr>
            </w:pPr>
          </w:p>
        </w:tc>
        <w:tc>
          <w:tcPr>
            <w:tcW w:w="879"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2016.</w:t>
            </w:r>
          </w:p>
        </w:tc>
        <w:tc>
          <w:tcPr>
            <w:tcW w:w="8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2017.</w:t>
            </w:r>
          </w:p>
        </w:tc>
        <w:tc>
          <w:tcPr>
            <w:tcW w:w="8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2018.</w:t>
            </w:r>
          </w:p>
        </w:tc>
        <w:tc>
          <w:tcPr>
            <w:tcW w:w="8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2019.</w:t>
            </w:r>
          </w:p>
        </w:tc>
        <w:tc>
          <w:tcPr>
            <w:tcW w:w="8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2016.</w:t>
            </w:r>
          </w:p>
        </w:tc>
        <w:tc>
          <w:tcPr>
            <w:tcW w:w="8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2017.</w:t>
            </w:r>
          </w:p>
        </w:tc>
        <w:tc>
          <w:tcPr>
            <w:tcW w:w="8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2018.</w:t>
            </w:r>
          </w:p>
        </w:tc>
        <w:tc>
          <w:tcPr>
            <w:tcW w:w="8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2019.</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Stanovništvo u hiljadama</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201</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218</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218</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217</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2.206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2.201</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2.196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2.190</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Poreski prihodi po stan. u KM</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129</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216</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219</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163</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181</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195,4</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Industrijska proizvod. - indeks</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96,5</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122,3</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97,5</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103</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104</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100,8</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97,3</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Pokrivenost uvoza izvozom u %</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59,3</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57,3</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61,9</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49,9</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57</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58</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59,6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55</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Trg. bilans u mili.KM (deficit)</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-446.487</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-584.452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-532.026</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-724.367</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-4.665,6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-5.180,6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-5.354,7</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-6.224,7</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Zaposlenost - prosjek</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48.068</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48.459</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54.133</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55.213</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457.974</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467.894</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519.800</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531.483</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Stepen regis. zaposle. u %</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31,8</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32,2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36,2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37,2</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29,4</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30,2</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33,8</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34,8</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Stepen aktivnosti u %</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53,8</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53,6</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56,7</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56,9</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53,3</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55,6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55,3</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 xml:space="preserve">Nezaposlenost </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33.318</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32.282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30.652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29.221</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377.854</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357.971</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335.610</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313.570</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Stepen reg. nezaposlenosti u %</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40,9</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40</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36,2</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34,6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45</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43</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39,2</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37,1</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Neto plata - prosječna u KM</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928</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933</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946</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1011</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839</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860</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889</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928</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Penzija - prosječna u KM</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403</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409</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441</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465</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370</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372</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399</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416</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penzionera</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37.546</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37.603</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38.279</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38.605</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404.165</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409.100</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416.828</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424.009</w:t>
            </w:r>
          </w:p>
        </w:tc>
      </w:tr>
      <w:tr w:rsidR="00F85905" w:rsidRPr="006C69B9" w:rsidTr="006C69B9">
        <w:trPr>
          <w:trHeight w:val="20"/>
        </w:trPr>
        <w:tc>
          <w:tcPr>
            <w:cnfStyle w:val="001000000000"/>
            <w:tcW w:w="2371"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poslovnih subjekata</w:t>
            </w:r>
          </w:p>
        </w:tc>
        <w:tc>
          <w:tcPr>
            <w:tcW w:w="87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13.476</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13.335</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13.945</w:t>
            </w:r>
          </w:p>
        </w:tc>
        <w:tc>
          <w:tcPr>
            <w:tcW w:w="87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14.200</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105.083</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105.961</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110.536</w:t>
            </w:r>
          </w:p>
        </w:tc>
        <w:tc>
          <w:tcPr>
            <w:tcW w:w="878" w:type="dxa"/>
            <w:shd w:val="clear" w:color="auto" w:fill="B6DDE8"/>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112.955</w:t>
            </w:r>
          </w:p>
        </w:tc>
      </w:tr>
    </w:tbl>
    <w:p w:rsidR="006C69B9" w:rsidRPr="006C69B9" w:rsidRDefault="006C69B9" w:rsidP="006C69B9">
      <w:pPr>
        <w:spacing w:after="0"/>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Federalni zavod za programiranje razvoja</w:t>
      </w:r>
    </w:p>
    <w:p w:rsidR="006C69B9" w:rsidRPr="006C69B9" w:rsidRDefault="006C69B9" w:rsidP="006C69B9">
      <w:pPr>
        <w:rPr>
          <w:rFonts w:ascii="Calibri" w:eastAsia="Calibri" w:hAnsi="Calibri" w:cs="Times New Roman"/>
          <w:lang w:val="bs-Latn-BA"/>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6" w:name="_heading=h.tyjcwt" w:colFirst="0" w:colLast="0"/>
      <w:bookmarkStart w:id="7" w:name="_Toc57573203"/>
      <w:bookmarkEnd w:id="6"/>
      <w:r w:rsidRPr="006C69B9">
        <w:rPr>
          <w:rFonts w:ascii="Calibri" w:eastAsia="Calibri" w:hAnsi="Calibri" w:cs="Times New Roman"/>
          <w:b/>
          <w:bCs/>
          <w:color w:val="4BACC6"/>
          <w:szCs w:val="26"/>
          <w:lang w:val="bs-Latn-BA" w:eastAsia="hr-HR"/>
        </w:rPr>
        <w:t>Vanjsko-trgovinska razmjena</w:t>
      </w:r>
      <w:bookmarkEnd w:id="7"/>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Na području Hercegovačko-neretvanskog kantona u posmatranom petogodišnjem periodu (2015.-2019. godina) bilježi se kontinuirano </w:t>
      </w:r>
      <w:r w:rsidRPr="006C69B9">
        <w:rPr>
          <w:rFonts w:ascii="Calibri" w:eastAsia="Calibri" w:hAnsi="Calibri" w:cs="Times New Roman"/>
          <w:b/>
          <w:i/>
          <w:lang w:val="bs-Latn-BA"/>
        </w:rPr>
        <w:t xml:space="preserve">povećanje izvoza </w:t>
      </w:r>
      <w:r w:rsidRPr="006C69B9">
        <w:rPr>
          <w:rFonts w:ascii="Calibri" w:eastAsia="Calibri" w:hAnsi="Calibri" w:cs="Times New Roman"/>
          <w:lang w:val="bs-Latn-BA"/>
        </w:rPr>
        <w:t xml:space="preserve">do 2018. godine, te značajan pad vrijednosti izvoza tokom 2019. godine (Tabela 7.). Izvoz Hercegovačko-neretvanskogkantona u 2019. godini učestvuje u ukupnom izvozu FBiH sa 9,46% u 2019 godini.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7</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Izvoz na području HNK i Federacije BiH u periodu 2015.-2019. godina</w:t>
      </w:r>
    </w:p>
    <w:tbl>
      <w:tblPr>
        <w:tblStyle w:val="MediumGrid3-Accent51"/>
        <w:tblW w:w="8648" w:type="dxa"/>
        <w:jc w:val="center"/>
        <w:tblLayout w:type="fixed"/>
        <w:tblLook w:val="06A0"/>
      </w:tblPr>
      <w:tblGrid>
        <w:gridCol w:w="1555"/>
        <w:gridCol w:w="1701"/>
        <w:gridCol w:w="1417"/>
        <w:gridCol w:w="1423"/>
        <w:gridCol w:w="1276"/>
        <w:gridCol w:w="1276"/>
      </w:tblGrid>
      <w:tr w:rsidR="00F85905" w:rsidRPr="006C69B9" w:rsidTr="006C69B9">
        <w:trPr>
          <w:cnfStyle w:val="100000000000"/>
          <w:trHeight w:val="20"/>
          <w:jc w:val="center"/>
        </w:trPr>
        <w:tc>
          <w:tcPr>
            <w:cnfStyle w:val="001000000000"/>
            <w:tcW w:w="1555"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 </w:t>
            </w:r>
          </w:p>
        </w:tc>
        <w:tc>
          <w:tcPr>
            <w:tcW w:w="1701"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2015.</w:t>
            </w:r>
          </w:p>
        </w:tc>
        <w:tc>
          <w:tcPr>
            <w:tcW w:w="1417"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2016.</w:t>
            </w:r>
          </w:p>
        </w:tc>
        <w:tc>
          <w:tcPr>
            <w:tcW w:w="1423"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2017.</w:t>
            </w:r>
          </w:p>
        </w:tc>
        <w:tc>
          <w:tcPr>
            <w:tcW w:w="1276"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2018.</w:t>
            </w:r>
          </w:p>
        </w:tc>
        <w:tc>
          <w:tcPr>
            <w:tcW w:w="1276"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2019.</w:t>
            </w:r>
          </w:p>
        </w:tc>
      </w:tr>
      <w:tr w:rsidR="00F85905" w:rsidRPr="006C69B9" w:rsidTr="006C69B9">
        <w:trPr>
          <w:trHeight w:val="20"/>
          <w:jc w:val="center"/>
        </w:trPr>
        <w:tc>
          <w:tcPr>
            <w:cnfStyle w:val="001000000000"/>
            <w:tcW w:w="1555"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HNK</w:t>
            </w:r>
          </w:p>
        </w:tc>
        <w:tc>
          <w:tcPr>
            <w:tcW w:w="1701"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587.176.000</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651.641.000</w:t>
            </w:r>
          </w:p>
        </w:tc>
        <w:tc>
          <w:tcPr>
            <w:tcW w:w="142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784.529.000</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863.117.000</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721.180.000</w:t>
            </w:r>
          </w:p>
        </w:tc>
      </w:tr>
      <w:tr w:rsidR="00F85905" w:rsidRPr="006C69B9" w:rsidTr="006C69B9">
        <w:trPr>
          <w:trHeight w:val="20"/>
          <w:jc w:val="center"/>
        </w:trPr>
        <w:tc>
          <w:tcPr>
            <w:cnfStyle w:val="001000000000"/>
            <w:tcW w:w="1555"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Federacija BiH</w:t>
            </w:r>
          </w:p>
        </w:tc>
        <w:tc>
          <w:tcPr>
            <w:tcW w:w="1701"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6.142.381.000</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6.259.782.000</w:t>
            </w:r>
          </w:p>
        </w:tc>
        <w:tc>
          <w:tcPr>
            <w:tcW w:w="142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7.254.540.577</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7.911.909.721</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7.620.113.876</w:t>
            </w:r>
          </w:p>
        </w:tc>
      </w:tr>
      <w:tr w:rsidR="00F85905" w:rsidRPr="006C69B9" w:rsidTr="006C69B9">
        <w:trPr>
          <w:trHeight w:val="20"/>
          <w:jc w:val="center"/>
        </w:trPr>
        <w:tc>
          <w:tcPr>
            <w:cnfStyle w:val="001000000000"/>
            <w:tcW w:w="1555"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Učešće HNK %</w:t>
            </w:r>
          </w:p>
        </w:tc>
        <w:tc>
          <w:tcPr>
            <w:tcW w:w="1701"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9,56%</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10,41%</w:t>
            </w:r>
          </w:p>
        </w:tc>
        <w:tc>
          <w:tcPr>
            <w:tcW w:w="1423"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10,81%</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10,91%</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9,46%</w:t>
            </w:r>
          </w:p>
        </w:tc>
      </w:tr>
    </w:tbl>
    <w:p w:rsidR="006C69B9" w:rsidRPr="006C69B9" w:rsidRDefault="006C69B9" w:rsidP="006C69B9">
      <w:pPr>
        <w:spacing w:after="0"/>
        <w:jc w:val="both"/>
        <w:rPr>
          <w:rFonts w:ascii="Calibri" w:eastAsia="Calibri" w:hAnsi="Calibri" w:cs="Times New Roman"/>
          <w:i/>
          <w:sz w:val="16"/>
          <w:szCs w:val="16"/>
          <w:lang w:val="bs-Latn-BA"/>
        </w:rPr>
      </w:pPr>
      <w:r w:rsidRPr="006C69B9">
        <w:rPr>
          <w:rFonts w:ascii="Calibri" w:eastAsia="Calibri" w:hAnsi="Calibri" w:cs="Times New Roman"/>
          <w:i/>
          <w:sz w:val="16"/>
          <w:szCs w:val="16"/>
          <w:lang w:val="bs-Latn-BA"/>
        </w:rPr>
        <w:t xml:space="preserve">Izvor: Federalni zavod za programiranje razvoja </w:t>
      </w:r>
    </w:p>
    <w:p w:rsidR="006C69B9" w:rsidRPr="006C69B9" w:rsidRDefault="006C69B9" w:rsidP="006C69B9">
      <w:pPr>
        <w:spacing w:after="0"/>
        <w:jc w:val="both"/>
        <w:rPr>
          <w:rFonts w:ascii="Calibri" w:eastAsia="Calibri" w:hAnsi="Calibri" w:cs="Times New Roman"/>
          <w:i/>
          <w:sz w:val="16"/>
          <w:szCs w:val="16"/>
          <w:lang w:val="bs-Latn-BA"/>
        </w:rPr>
      </w:pPr>
    </w:p>
    <w:p w:rsidR="006C69B9" w:rsidRPr="006C69B9" w:rsidRDefault="006C69B9" w:rsidP="006C69B9">
      <w:pPr>
        <w:jc w:val="both"/>
        <w:rPr>
          <w:rFonts w:ascii="Calibri" w:eastAsia="Calibri" w:hAnsi="Calibri" w:cs="Times New Roman"/>
          <w:color w:val="FF0000"/>
          <w:lang w:val="bs-Latn-BA"/>
        </w:rPr>
      </w:pPr>
      <w:r w:rsidRPr="006C69B9">
        <w:rPr>
          <w:rFonts w:ascii="Calibri" w:eastAsia="Calibri" w:hAnsi="Calibri" w:cs="Times New Roman"/>
          <w:color w:val="000000"/>
          <w:lang w:val="bs-Latn-BA"/>
        </w:rPr>
        <w:t xml:space="preserve">U izvozu na području Hercegovačko-neretvanskog kantona u posmatranom petogodišnjem periodu prednjači </w:t>
      </w:r>
      <w:r w:rsidRPr="006C69B9">
        <w:rPr>
          <w:rFonts w:ascii="Calibri" w:eastAsia="Calibri" w:hAnsi="Calibri" w:cs="Times New Roman"/>
          <w:lang w:val="bs-Latn-BA"/>
        </w:rPr>
        <w:t>prerađivačka industrija. Privredni subjekti  iz ove djelatnosti ostvarili su 573.291.502 KM izvoza u 2019. godini što čini 70% ukupnog izvoza Hercegovačko-neretvanskog kantona u navedenoj godini, a među najvećim izvoznicima na području Hercegovačko-neretvanskog kantona jesu</w:t>
      </w:r>
      <w:r w:rsidRPr="006C69B9">
        <w:rPr>
          <w:rFonts w:ascii="Calibri" w:eastAsia="Calibri" w:hAnsi="Calibri" w:cs="Times New Roman"/>
          <w:color w:val="FF0000"/>
          <w:lang w:val="bs-Latn-BA"/>
        </w:rPr>
        <w:t xml:space="preserve"> </w:t>
      </w:r>
      <w:r w:rsidRPr="006C69B9">
        <w:rPr>
          <w:rFonts w:ascii="Calibri" w:eastAsia="Calibri" w:hAnsi="Calibri" w:cs="Times New Roman"/>
          <w:u w:val="single"/>
          <w:lang w:val="bs-Latn-BA"/>
        </w:rPr>
        <w:t>preduzeća...</w:t>
      </w:r>
    </w:p>
    <w:p w:rsidR="006C69B9" w:rsidRPr="006C69B9" w:rsidRDefault="006C69B9" w:rsidP="006C69B9">
      <w:pPr>
        <w:jc w:val="both"/>
        <w:rPr>
          <w:rFonts w:ascii="Calibri" w:eastAsia="Calibri" w:hAnsi="Calibri" w:cs="Times New Roman"/>
          <w:color w:val="FF0000"/>
          <w:lang w:val="bs-Latn-BA"/>
        </w:rPr>
      </w:pPr>
      <w:r w:rsidRPr="006C69B9">
        <w:rPr>
          <w:rFonts w:ascii="Calibri" w:eastAsia="Calibri" w:hAnsi="Calibri" w:cs="Times New Roman"/>
          <w:lang w:val="bs-Latn-BA"/>
        </w:rPr>
        <w:t xml:space="preserve">Uz zabilježeni kontinuirani rast izvoza, na području Hercegovačko-neretvanskogkantona u periodu 2015.-2019. godina bilježi se </w:t>
      </w:r>
      <w:r w:rsidRPr="006C69B9">
        <w:rPr>
          <w:rFonts w:ascii="Calibri" w:eastAsia="Calibri" w:hAnsi="Calibri" w:cs="Times New Roman"/>
          <w:b/>
          <w:i/>
          <w:lang w:val="bs-Latn-BA"/>
        </w:rPr>
        <w:t>kontinuirano povećanje uvoza</w:t>
      </w:r>
      <w:r w:rsidRPr="006C69B9">
        <w:rPr>
          <w:rFonts w:ascii="Calibri" w:eastAsia="Calibri" w:hAnsi="Calibri" w:cs="Times New Roman"/>
          <w:lang w:val="bs-Latn-BA"/>
        </w:rPr>
        <w:t xml:space="preserve">. U odnosu na 2018. godinu zabilježen je rast uvoza od 3,48% a u odnosu na 2015. godinu navedeno povećanje iznosi 26,11%. Rastući trend uvoza na području HNKK, prati trend zabilježen i na nivou Federacije BiH u čijem ukupnom izvozu Hercegovačko-neretvanski kanton u prosjeku učestvuje sa 10% (Tabela 8.).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lastRenderedPageBreak/>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8</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noProof/>
          <w:color w:val="31849B"/>
          <w:sz w:val="20"/>
        </w:rPr>
        <w:t>.</w:t>
      </w:r>
      <w:r w:rsidRPr="006C69B9">
        <w:rPr>
          <w:rFonts w:ascii="Calibri" w:eastAsia="Calibri" w:hAnsi="Calibri" w:cs="Calibri Light"/>
          <w:bCs/>
          <w:i/>
          <w:color w:val="31849B"/>
          <w:sz w:val="20"/>
        </w:rPr>
        <w:t xml:space="preserve">  Uvoz na području HNK i Federacije BiH u periodu 2015.-2019. godina</w:t>
      </w:r>
    </w:p>
    <w:tbl>
      <w:tblPr>
        <w:tblStyle w:val="MediumGrid3-Accent51"/>
        <w:tblW w:w="9208" w:type="dxa"/>
        <w:tblLayout w:type="fixed"/>
        <w:tblLook w:val="06A0"/>
      </w:tblPr>
      <w:tblGrid>
        <w:gridCol w:w="1695"/>
        <w:gridCol w:w="1418"/>
        <w:gridCol w:w="1559"/>
        <w:gridCol w:w="1418"/>
        <w:gridCol w:w="1701"/>
        <w:gridCol w:w="1417"/>
      </w:tblGrid>
      <w:tr w:rsidR="00F85905" w:rsidRPr="006C69B9" w:rsidTr="006C69B9">
        <w:trPr>
          <w:cnfStyle w:val="100000000000"/>
          <w:trHeight w:val="30"/>
        </w:trPr>
        <w:tc>
          <w:tcPr>
            <w:cnfStyle w:val="001000000000"/>
            <w:tcW w:w="1696" w:type="dxa"/>
          </w:tcPr>
          <w:p w:rsidR="006C69B9" w:rsidRPr="006C69B9" w:rsidRDefault="006C69B9" w:rsidP="006C69B9">
            <w:pPr>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 </w:t>
            </w:r>
          </w:p>
        </w:tc>
        <w:tc>
          <w:tcPr>
            <w:tcW w:w="1418"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2015.</w:t>
            </w:r>
          </w:p>
        </w:tc>
        <w:tc>
          <w:tcPr>
            <w:tcW w:w="1559"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2016.</w:t>
            </w:r>
          </w:p>
        </w:tc>
        <w:tc>
          <w:tcPr>
            <w:tcW w:w="1418"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2017.</w:t>
            </w:r>
          </w:p>
        </w:tc>
        <w:tc>
          <w:tcPr>
            <w:tcW w:w="1701"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2018.</w:t>
            </w:r>
          </w:p>
        </w:tc>
        <w:tc>
          <w:tcPr>
            <w:tcW w:w="1417"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2019.</w:t>
            </w:r>
          </w:p>
        </w:tc>
      </w:tr>
      <w:tr w:rsidR="00F85905" w:rsidRPr="006C69B9" w:rsidTr="006C69B9">
        <w:trPr>
          <w:trHeight w:val="30"/>
        </w:trPr>
        <w:tc>
          <w:tcPr>
            <w:cnfStyle w:val="001000000000"/>
            <w:tcW w:w="1696"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Hercegovačko-neretvanski kanton</w:t>
            </w:r>
          </w:p>
        </w:tc>
        <w:tc>
          <w:tcPr>
            <w:tcW w:w="141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1.068.147.000</w:t>
            </w:r>
          </w:p>
        </w:tc>
        <w:tc>
          <w:tcPr>
            <w:tcW w:w="155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1.098.128.000</w:t>
            </w:r>
          </w:p>
        </w:tc>
        <w:tc>
          <w:tcPr>
            <w:tcW w:w="141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1.368.980.000</w:t>
            </w:r>
          </w:p>
        </w:tc>
        <w:tc>
          <w:tcPr>
            <w:tcW w:w="1701"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1.395.143.000</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1.445.547.000</w:t>
            </w:r>
          </w:p>
        </w:tc>
      </w:tr>
      <w:tr w:rsidR="00F85905" w:rsidRPr="006C69B9" w:rsidTr="006C69B9">
        <w:trPr>
          <w:trHeight w:val="30"/>
        </w:trPr>
        <w:tc>
          <w:tcPr>
            <w:cnfStyle w:val="001000000000"/>
            <w:tcW w:w="1696"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Federacija BiH</w:t>
            </w:r>
          </w:p>
        </w:tc>
        <w:tc>
          <w:tcPr>
            <w:tcW w:w="141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10.678.330.000</w:t>
            </w:r>
          </w:p>
        </w:tc>
        <w:tc>
          <w:tcPr>
            <w:tcW w:w="155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10.925.411.000</w:t>
            </w:r>
          </w:p>
        </w:tc>
        <w:tc>
          <w:tcPr>
            <w:tcW w:w="141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12.435.049.185</w:t>
            </w:r>
          </w:p>
        </w:tc>
        <w:tc>
          <w:tcPr>
            <w:tcW w:w="1701"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13.266.590.789</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13.844.811.056</w:t>
            </w:r>
          </w:p>
        </w:tc>
      </w:tr>
      <w:tr w:rsidR="00F85905" w:rsidRPr="006C69B9" w:rsidTr="006C69B9">
        <w:trPr>
          <w:trHeight w:val="30"/>
        </w:trPr>
        <w:tc>
          <w:tcPr>
            <w:cnfStyle w:val="001000000000"/>
            <w:tcW w:w="1696"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Učešće HNK %</w:t>
            </w:r>
          </w:p>
        </w:tc>
        <w:tc>
          <w:tcPr>
            <w:tcW w:w="1418"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10,00%</w:t>
            </w:r>
          </w:p>
        </w:tc>
        <w:tc>
          <w:tcPr>
            <w:tcW w:w="1559"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10,05%</w:t>
            </w:r>
          </w:p>
        </w:tc>
        <w:tc>
          <w:tcPr>
            <w:tcW w:w="1418"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11,01%</w:t>
            </w:r>
          </w:p>
        </w:tc>
        <w:tc>
          <w:tcPr>
            <w:tcW w:w="1701"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10,52%</w:t>
            </w:r>
          </w:p>
        </w:tc>
        <w:tc>
          <w:tcPr>
            <w:tcW w:w="1417"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10,44%</w:t>
            </w:r>
          </w:p>
        </w:tc>
      </w:tr>
    </w:tbl>
    <w:p w:rsidR="006C69B9" w:rsidRPr="006C69B9" w:rsidRDefault="006C69B9" w:rsidP="006C69B9">
      <w:pPr>
        <w:spacing w:after="0"/>
        <w:jc w:val="both"/>
        <w:rPr>
          <w:rFonts w:ascii="Calibri" w:eastAsia="Calibri" w:hAnsi="Calibri" w:cs="Times New Roman"/>
          <w:i/>
          <w:sz w:val="16"/>
          <w:szCs w:val="16"/>
          <w:lang w:val="bs-Latn-BA"/>
        </w:rPr>
      </w:pPr>
      <w:r w:rsidRPr="006C69B9">
        <w:rPr>
          <w:rFonts w:ascii="Calibri" w:eastAsia="Calibri" w:hAnsi="Calibri" w:cs="Times New Roman"/>
          <w:i/>
          <w:sz w:val="16"/>
          <w:szCs w:val="16"/>
          <w:lang w:val="bs-Latn-BA"/>
        </w:rPr>
        <w:t xml:space="preserve">Izvor: Federalni zavod za programiranje razvoja </w:t>
      </w:r>
    </w:p>
    <w:p w:rsidR="006C69B9" w:rsidRPr="006C69B9" w:rsidRDefault="006C69B9" w:rsidP="006C69B9">
      <w:pPr>
        <w:spacing w:after="0"/>
        <w:jc w:val="both"/>
        <w:rPr>
          <w:rFonts w:ascii="Calibri" w:eastAsia="Calibri" w:hAnsi="Calibri" w:cs="Times New Roman"/>
          <w:i/>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Hercegovačko-neretvanski kanton od 2015. godine bilježi </w:t>
      </w:r>
      <w:r w:rsidRPr="006C69B9">
        <w:rPr>
          <w:rFonts w:ascii="Calibri" w:eastAsia="Calibri" w:hAnsi="Calibri" w:cs="Times New Roman"/>
          <w:b/>
          <w:i/>
          <w:lang w:val="bs-Latn-BA"/>
        </w:rPr>
        <w:t>trgovinski deficit</w:t>
      </w:r>
      <w:r w:rsidRPr="006C69B9">
        <w:rPr>
          <w:rFonts w:ascii="Calibri" w:eastAsia="Calibri" w:hAnsi="Calibri" w:cs="Times New Roman"/>
          <w:lang w:val="bs-Latn-BA"/>
        </w:rPr>
        <w:t xml:space="preserve"> koji se kretao od 480,97 miliona KM u 2015. godini do 724,37 miliona KM u 2019. godini (Tabela 9.)., a koji je posljedica neujednačenog rasta izvoza i uvoza tokom posmatranog perioda. Trend rasta trgovinskog deficita je primjetan i na nivou Federacije BiH.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9</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noProof/>
          <w:color w:val="31849B"/>
          <w:sz w:val="20"/>
        </w:rPr>
        <w:t xml:space="preserve">. </w:t>
      </w:r>
      <w:r w:rsidRPr="006C69B9">
        <w:rPr>
          <w:rFonts w:ascii="Calibri" w:eastAsia="Calibri" w:hAnsi="Calibri" w:cs="Calibri Light"/>
          <w:bCs/>
          <w:i/>
          <w:color w:val="31849B"/>
          <w:sz w:val="20"/>
        </w:rPr>
        <w:t>Trgovinski bilans HNK i Federacije BiH u periodu 2015.-2019. godina, u milionima KM</w:t>
      </w:r>
    </w:p>
    <w:tbl>
      <w:tblPr>
        <w:tblStyle w:val="MediumGrid3-Accent51"/>
        <w:tblW w:w="9209" w:type="dxa"/>
        <w:tblLayout w:type="fixed"/>
        <w:tblLook w:val="06A0"/>
      </w:tblPr>
      <w:tblGrid>
        <w:gridCol w:w="2110"/>
        <w:gridCol w:w="1996"/>
        <w:gridCol w:w="1134"/>
        <w:gridCol w:w="1276"/>
        <w:gridCol w:w="1276"/>
        <w:gridCol w:w="1417"/>
      </w:tblGrid>
      <w:tr w:rsidR="00F85905" w:rsidRPr="006C69B9" w:rsidTr="006C69B9">
        <w:trPr>
          <w:cnfStyle w:val="100000000000"/>
          <w:trHeight w:val="30"/>
        </w:trPr>
        <w:tc>
          <w:tcPr>
            <w:cnfStyle w:val="001000000000"/>
            <w:tcW w:w="2110" w:type="dxa"/>
          </w:tcPr>
          <w:p w:rsidR="006C69B9" w:rsidRPr="006C69B9" w:rsidRDefault="006C69B9" w:rsidP="006C69B9">
            <w:pPr>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 </w:t>
            </w:r>
          </w:p>
        </w:tc>
        <w:tc>
          <w:tcPr>
            <w:tcW w:w="1996"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2015.</w:t>
            </w:r>
          </w:p>
        </w:tc>
        <w:tc>
          <w:tcPr>
            <w:tcW w:w="1134"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2016.</w:t>
            </w:r>
          </w:p>
        </w:tc>
        <w:tc>
          <w:tcPr>
            <w:tcW w:w="1276"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2017.</w:t>
            </w:r>
          </w:p>
        </w:tc>
        <w:tc>
          <w:tcPr>
            <w:tcW w:w="1276"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2018.</w:t>
            </w:r>
          </w:p>
        </w:tc>
        <w:tc>
          <w:tcPr>
            <w:tcW w:w="1417"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2019.</w:t>
            </w:r>
          </w:p>
        </w:tc>
      </w:tr>
      <w:tr w:rsidR="00F85905" w:rsidRPr="006C69B9" w:rsidTr="006C69B9">
        <w:trPr>
          <w:trHeight w:val="30"/>
        </w:trPr>
        <w:tc>
          <w:tcPr>
            <w:cnfStyle w:val="001000000000"/>
            <w:tcW w:w="2110"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HNK</w:t>
            </w:r>
          </w:p>
        </w:tc>
        <w:tc>
          <w:tcPr>
            <w:tcW w:w="199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-480,97</w:t>
            </w:r>
          </w:p>
        </w:tc>
        <w:tc>
          <w:tcPr>
            <w:tcW w:w="1134"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-446,49</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-584,45</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-532,03</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-724,37</w:t>
            </w:r>
          </w:p>
        </w:tc>
      </w:tr>
      <w:tr w:rsidR="00F85905" w:rsidRPr="006C69B9" w:rsidTr="006C69B9">
        <w:trPr>
          <w:trHeight w:val="30"/>
        </w:trPr>
        <w:tc>
          <w:tcPr>
            <w:cnfStyle w:val="001000000000"/>
            <w:tcW w:w="2110"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Federacija BiH</w:t>
            </w:r>
          </w:p>
        </w:tc>
        <w:tc>
          <w:tcPr>
            <w:tcW w:w="199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-4.536,0</w:t>
            </w:r>
          </w:p>
        </w:tc>
        <w:tc>
          <w:tcPr>
            <w:tcW w:w="1134"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-4.665,60</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-5.180,60</w:t>
            </w:r>
          </w:p>
        </w:tc>
        <w:tc>
          <w:tcPr>
            <w:tcW w:w="127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-5.354,70</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-6.224,70</w:t>
            </w:r>
          </w:p>
        </w:tc>
      </w:tr>
    </w:tbl>
    <w:p w:rsidR="006C69B9" w:rsidRPr="006C69B9" w:rsidRDefault="006C69B9" w:rsidP="006C69B9">
      <w:pPr>
        <w:spacing w:after="0"/>
        <w:jc w:val="both"/>
        <w:rPr>
          <w:rFonts w:ascii="Calibri" w:eastAsia="Calibri" w:hAnsi="Calibri" w:cs="Times New Roman"/>
          <w:i/>
          <w:sz w:val="16"/>
          <w:szCs w:val="16"/>
          <w:lang w:val="bs-Latn-BA"/>
        </w:rPr>
      </w:pPr>
      <w:r w:rsidRPr="006C69B9">
        <w:rPr>
          <w:rFonts w:ascii="Calibri" w:eastAsia="Calibri" w:hAnsi="Calibri" w:cs="Times New Roman"/>
          <w:i/>
          <w:sz w:val="16"/>
          <w:szCs w:val="16"/>
          <w:lang w:val="bs-Latn-BA"/>
        </w:rPr>
        <w:t xml:space="preserve">Izvor: Federalni zavod za programiranje razvoja </w:t>
      </w:r>
    </w:p>
    <w:p w:rsidR="006C69B9" w:rsidRPr="006C69B9" w:rsidRDefault="006C69B9" w:rsidP="006C69B9">
      <w:pPr>
        <w:spacing w:after="0"/>
        <w:jc w:val="both"/>
        <w:rPr>
          <w:rFonts w:ascii="Calibri" w:eastAsia="Calibri" w:hAnsi="Calibri" w:cs="Times New Roman"/>
          <w:i/>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Procenat pokrivenosti uvoza izvozom u Federaciji BiH u 2019. godini iznosio je 55,0 % i niži je za 4,6 % u odnosu na 2018. godinu kada je pokrivenost iznosila 59,6% (Tabela 10.). S druge strane, procenat pokrivenosti uvoza izvozom u Hercegovačko-neretvanskom kantonu u 2019. godini iznosila je 49,89% što je za 12% manje u odnosu na 2018. godinu, odnosno za 5% manje u odnosu na 2015. godinu. Procenat pokrivenosti uvoza izvozom HNK je oscilirao u posmatranom periodu, ali je činjenica da je u 2019. Godini značajno manji u odnosu na 2015. godinu.</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10</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Pokrivenost uvoza izvozom HNK i Federacije BiH u periodu 2015.-2019. godina</w:t>
      </w:r>
    </w:p>
    <w:tbl>
      <w:tblPr>
        <w:tblStyle w:val="MediumGrid3-Accent51"/>
        <w:tblW w:w="9067" w:type="dxa"/>
        <w:tblLayout w:type="fixed"/>
        <w:tblLook w:val="06A0"/>
      </w:tblPr>
      <w:tblGrid>
        <w:gridCol w:w="2110"/>
        <w:gridCol w:w="1632"/>
        <w:gridCol w:w="1066"/>
        <w:gridCol w:w="1424"/>
        <w:gridCol w:w="1418"/>
        <w:gridCol w:w="1417"/>
      </w:tblGrid>
      <w:tr w:rsidR="00F85905" w:rsidRPr="006C69B9" w:rsidTr="006C69B9">
        <w:trPr>
          <w:cnfStyle w:val="100000000000"/>
          <w:trHeight w:val="30"/>
        </w:trPr>
        <w:tc>
          <w:tcPr>
            <w:cnfStyle w:val="001000000000"/>
            <w:tcW w:w="2110" w:type="dxa"/>
          </w:tcPr>
          <w:p w:rsidR="006C69B9" w:rsidRPr="006C69B9" w:rsidRDefault="006C69B9" w:rsidP="006C69B9">
            <w:pPr>
              <w:rPr>
                <w:rFonts w:ascii="Calibri" w:eastAsia="Calibri" w:hAnsi="Calibri" w:cs="Times New Roman"/>
                <w:color w:val="000000"/>
                <w:sz w:val="20"/>
                <w:szCs w:val="20"/>
                <w:lang w:val="bs-Latn-BA"/>
              </w:rPr>
            </w:pPr>
          </w:p>
        </w:tc>
        <w:tc>
          <w:tcPr>
            <w:tcW w:w="1632"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w:t>
            </w:r>
          </w:p>
        </w:tc>
        <w:tc>
          <w:tcPr>
            <w:tcW w:w="106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1424"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418"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417"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r>
      <w:tr w:rsidR="00F85905" w:rsidRPr="006C69B9" w:rsidTr="006C69B9">
        <w:trPr>
          <w:trHeight w:val="30"/>
        </w:trPr>
        <w:tc>
          <w:tcPr>
            <w:cnfStyle w:val="001000000000"/>
            <w:tcW w:w="2110"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HNK</w:t>
            </w:r>
          </w:p>
        </w:tc>
        <w:tc>
          <w:tcPr>
            <w:tcW w:w="1632"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54,97%</w:t>
            </w:r>
          </w:p>
        </w:tc>
        <w:tc>
          <w:tcPr>
            <w:tcW w:w="106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59,34%</w:t>
            </w:r>
          </w:p>
        </w:tc>
        <w:tc>
          <w:tcPr>
            <w:tcW w:w="1424"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57,31%</w:t>
            </w:r>
          </w:p>
        </w:tc>
        <w:tc>
          <w:tcPr>
            <w:tcW w:w="141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61,87%</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49,89%</w:t>
            </w:r>
          </w:p>
        </w:tc>
      </w:tr>
      <w:tr w:rsidR="00F85905" w:rsidRPr="006C69B9" w:rsidTr="006C69B9">
        <w:trPr>
          <w:trHeight w:val="30"/>
        </w:trPr>
        <w:tc>
          <w:tcPr>
            <w:cnfStyle w:val="001000000000"/>
            <w:tcW w:w="2110"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Federacija BiH</w:t>
            </w:r>
          </w:p>
        </w:tc>
        <w:tc>
          <w:tcPr>
            <w:tcW w:w="1632"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57,5%</w:t>
            </w:r>
          </w:p>
        </w:tc>
        <w:tc>
          <w:tcPr>
            <w:tcW w:w="1066"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57,3%</w:t>
            </w:r>
          </w:p>
        </w:tc>
        <w:tc>
          <w:tcPr>
            <w:tcW w:w="1424"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58,3%</w:t>
            </w:r>
          </w:p>
        </w:tc>
        <w:tc>
          <w:tcPr>
            <w:tcW w:w="1418"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59,6%</w:t>
            </w:r>
          </w:p>
        </w:tc>
        <w:tc>
          <w:tcPr>
            <w:tcW w:w="1417"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55,0%</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 xml:space="preserve">Izvor: Federalni zavod za programiranje razvoja </w:t>
      </w:r>
    </w:p>
    <w:p w:rsidR="006C69B9" w:rsidRPr="006C69B9" w:rsidRDefault="006C69B9" w:rsidP="006C69B9">
      <w:pPr>
        <w:spacing w:after="0"/>
        <w:jc w:val="both"/>
        <w:rPr>
          <w:rFonts w:ascii="Calibri" w:eastAsia="Calibri" w:hAnsi="Calibri" w:cs="Times New Roman"/>
          <w:b/>
          <w:i/>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Zasigurno je da će na prethodno opisane pokazatelje i pozitivne ostvarene trendove u oblasti izvoza Hercegovačko-neretvanskog kantona negativan utjecaj imati COVID-19 pandemija koja se pojavila u martu 2020. godine te uzrokovala privremene i/ili trajne obustave rada privrednih subjekata, a usljed zatvaranja granica i otežane vanjsko-trgovinske razmjene dovela do smanjenja izvoznih parametara privrednih subjekata sa područja ovog Kantona ali i cijele Federacije BiH. </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8" w:name="_heading=h.3dy6vkm" w:colFirst="0" w:colLast="0"/>
      <w:bookmarkStart w:id="9" w:name="_Toc57573204"/>
      <w:bookmarkEnd w:id="8"/>
      <w:r w:rsidRPr="006C69B9">
        <w:rPr>
          <w:rFonts w:ascii="Calibri" w:eastAsia="Calibri" w:hAnsi="Calibri" w:cs="Times New Roman"/>
          <w:b/>
          <w:bCs/>
          <w:color w:val="4BACC6"/>
          <w:szCs w:val="26"/>
          <w:lang w:val="bs-Latn-BA" w:eastAsia="hr-HR"/>
        </w:rPr>
        <w:t>Industrijska proizvodnja</w:t>
      </w:r>
      <w:bookmarkEnd w:id="9"/>
    </w:p>
    <w:p w:rsidR="006C69B9" w:rsidRPr="006C69B9" w:rsidRDefault="006C69B9" w:rsidP="006C69B9">
      <w:pPr>
        <w:jc w:val="both"/>
        <w:rPr>
          <w:rFonts w:ascii="Calibri" w:eastAsia="Calibri" w:hAnsi="Calibri" w:cs="Times New Roman"/>
          <w:i/>
          <w:color w:val="FF0000"/>
          <w:lang w:val="bs-Latn-BA"/>
        </w:rPr>
      </w:pPr>
      <w:r w:rsidRPr="006C69B9">
        <w:rPr>
          <w:rFonts w:ascii="Calibri" w:eastAsia="Calibri" w:hAnsi="Calibri" w:cs="Times New Roman"/>
          <w:lang w:val="bs-Latn-BA"/>
        </w:rPr>
        <w:t>U 2019. godini u Federaciji BiH ostvaren je pad fizičkog obima industrijske proizvodnje po stopi od 2,7%. Prateći i ostale pokazatelje, u HNK je došlo do pada fizičkog obima industrije za čak 24,8% u 2019. godini u odnosu na 2018., što je posljedica obustave rada u privrednom društvu Aluminj Mostar. Posmatrajući pokazatelj za 2019/2018 u odnosu na 2016/2015 primjećuje se da je pad industrijske proizvodnje za 1% što je manje u odnosu na pad u Federaciji BiH za isti period koji iznosi 4,9%.</w:t>
      </w:r>
      <w:r w:rsidRPr="006C69B9">
        <w:rPr>
          <w:rFonts w:ascii="Calibri" w:eastAsia="Calibri" w:hAnsi="Calibri" w:cs="Times New Roman"/>
          <w:i/>
          <w:color w:val="FF0000"/>
          <w:lang w:val="bs-Latn-BA"/>
        </w:rPr>
        <w:t xml:space="preserve"> </w:t>
      </w:r>
    </w:p>
    <w:p w:rsidR="006C69B9" w:rsidRPr="006C69B9" w:rsidRDefault="006C69B9" w:rsidP="006C69B9">
      <w:pPr>
        <w:jc w:val="both"/>
        <w:rPr>
          <w:rFonts w:ascii="Calibri" w:eastAsia="Calibri" w:hAnsi="Calibri" w:cs="Times New Roman"/>
          <w:i/>
          <w:color w:val="FF0000"/>
          <w:lang w:val="bs-Latn-BA"/>
        </w:rPr>
      </w:pPr>
    </w:p>
    <w:p w:rsidR="006C69B9" w:rsidRPr="006C69B9" w:rsidRDefault="006C69B9" w:rsidP="006C69B9">
      <w:pPr>
        <w:jc w:val="both"/>
        <w:rPr>
          <w:rFonts w:ascii="Calibri" w:eastAsia="Calibri" w:hAnsi="Calibri" w:cs="Times New Roman"/>
          <w:i/>
          <w:color w:val="FF0000"/>
          <w:lang w:val="bs-Latn-BA"/>
        </w:rPr>
      </w:pPr>
    </w:p>
    <w:p w:rsidR="006C69B9" w:rsidRPr="006C69B9" w:rsidRDefault="006C69B9" w:rsidP="006C69B9">
      <w:pPr>
        <w:jc w:val="both"/>
        <w:rPr>
          <w:rFonts w:ascii="Calibri" w:eastAsia="Calibri" w:hAnsi="Calibri" w:cs="Times New Roman"/>
          <w:i/>
          <w:color w:val="FF0000"/>
          <w:lang w:val="bs-Latn-BA"/>
        </w:rPr>
      </w:pPr>
    </w:p>
    <w:p w:rsidR="006C69B9" w:rsidRPr="006C69B9" w:rsidRDefault="006C69B9" w:rsidP="006C69B9">
      <w:pPr>
        <w:jc w:val="both"/>
        <w:rPr>
          <w:rFonts w:ascii="Calibri" w:eastAsia="Calibri" w:hAnsi="Calibri" w:cs="Times New Roman"/>
          <w:i/>
          <w:color w:val="FF0000"/>
          <w:lang w:val="bs-Latn-BA"/>
        </w:rPr>
      </w:pPr>
    </w:p>
    <w:p w:rsidR="006C69B9" w:rsidRPr="006C69B9" w:rsidRDefault="006C69B9" w:rsidP="006C69B9">
      <w:pPr>
        <w:jc w:val="both"/>
        <w:rPr>
          <w:rFonts w:ascii="Calibri" w:eastAsia="Calibri" w:hAnsi="Calibri" w:cs="Times New Roman"/>
          <w:i/>
          <w:color w:val="FF0000"/>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lastRenderedPageBreak/>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11</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Indeksi industrijske proizvodnje za Hercegovačko-neretvanski kanton i Federaciju BiH u periodu 2015.-2019. godina</w:t>
      </w:r>
    </w:p>
    <w:tbl>
      <w:tblPr>
        <w:tblStyle w:val="MediumGrid3-Accent51"/>
        <w:tblW w:w="9396" w:type="dxa"/>
        <w:tblLayout w:type="fixed"/>
        <w:tblLook w:val="06A0"/>
      </w:tblPr>
      <w:tblGrid>
        <w:gridCol w:w="2051"/>
        <w:gridCol w:w="1009"/>
        <w:gridCol w:w="810"/>
        <w:gridCol w:w="782"/>
        <w:gridCol w:w="782"/>
        <w:gridCol w:w="810"/>
        <w:gridCol w:w="810"/>
        <w:gridCol w:w="782"/>
        <w:gridCol w:w="782"/>
        <w:gridCol w:w="778"/>
      </w:tblGrid>
      <w:tr w:rsidR="00F85905" w:rsidRPr="006C69B9" w:rsidTr="006C69B9">
        <w:trPr>
          <w:cnfStyle w:val="100000000000"/>
          <w:trHeight w:val="297"/>
        </w:trPr>
        <w:tc>
          <w:tcPr>
            <w:cnfStyle w:val="001000000000"/>
            <w:tcW w:w="2051" w:type="dxa"/>
            <w:vMerge w:val="restart"/>
          </w:tcPr>
          <w:p w:rsidR="006C69B9" w:rsidRPr="006C69B9" w:rsidRDefault="006C69B9" w:rsidP="006C69B9">
            <w:pPr>
              <w:rPr>
                <w:rFonts w:ascii="Calibri" w:eastAsia="Calibri" w:hAnsi="Calibri" w:cs="Times New Roman"/>
                <w:color w:val="000000"/>
                <w:sz w:val="18"/>
                <w:szCs w:val="18"/>
                <w:lang w:val="bs-Latn-BA"/>
              </w:rPr>
            </w:pPr>
          </w:p>
        </w:tc>
        <w:tc>
          <w:tcPr>
            <w:tcW w:w="3383" w:type="dxa"/>
            <w:gridSpan w:val="4"/>
          </w:tcPr>
          <w:p w:rsidR="006C69B9" w:rsidRPr="006C69B9" w:rsidRDefault="006C69B9" w:rsidP="006C69B9">
            <w:pPr>
              <w:ind w:firstLine="181"/>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HERCEGOVAČKO-NERETVANSKI KANTON</w:t>
            </w:r>
          </w:p>
        </w:tc>
        <w:tc>
          <w:tcPr>
            <w:tcW w:w="3962" w:type="dxa"/>
            <w:gridSpan w:val="5"/>
          </w:tcPr>
          <w:p w:rsidR="006C69B9" w:rsidRPr="006C69B9" w:rsidRDefault="006C69B9" w:rsidP="006C69B9">
            <w:pPr>
              <w:ind w:firstLine="181"/>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FEDERACIJA BIH</w:t>
            </w:r>
          </w:p>
        </w:tc>
      </w:tr>
      <w:tr w:rsidR="00F85905" w:rsidRPr="006C69B9" w:rsidTr="006C69B9">
        <w:trPr>
          <w:trHeight w:val="570"/>
        </w:trPr>
        <w:tc>
          <w:tcPr>
            <w:cnfStyle w:val="001000000000"/>
            <w:tcW w:w="2051"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color w:val="000000"/>
                <w:sz w:val="18"/>
                <w:szCs w:val="18"/>
                <w:lang w:val="bs-Latn-BA"/>
              </w:rPr>
            </w:pPr>
          </w:p>
        </w:tc>
        <w:tc>
          <w:tcPr>
            <w:tcW w:w="1009"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2016</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/2015</w:t>
            </w:r>
          </w:p>
        </w:tc>
        <w:tc>
          <w:tcPr>
            <w:tcW w:w="810"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2017/</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2016</w:t>
            </w:r>
          </w:p>
        </w:tc>
        <w:tc>
          <w:tcPr>
            <w:tcW w:w="782"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2018</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/2017</w:t>
            </w:r>
          </w:p>
        </w:tc>
        <w:tc>
          <w:tcPr>
            <w:tcW w:w="782"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2019</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/2018</w:t>
            </w:r>
          </w:p>
        </w:tc>
        <w:tc>
          <w:tcPr>
            <w:tcW w:w="810"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2015</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/2014</w:t>
            </w:r>
          </w:p>
        </w:tc>
        <w:tc>
          <w:tcPr>
            <w:tcW w:w="810"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2016</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/2015</w:t>
            </w:r>
          </w:p>
        </w:tc>
        <w:tc>
          <w:tcPr>
            <w:tcW w:w="782"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2017</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/2016</w:t>
            </w:r>
          </w:p>
        </w:tc>
        <w:tc>
          <w:tcPr>
            <w:tcW w:w="782"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2018</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/2017</w:t>
            </w:r>
          </w:p>
        </w:tc>
        <w:tc>
          <w:tcPr>
            <w:tcW w:w="77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2019</w:t>
            </w:r>
          </w:p>
          <w:p w:rsidR="006C69B9" w:rsidRPr="006C69B9" w:rsidRDefault="006C69B9" w:rsidP="006C69B9">
            <w:pPr>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/2018</w:t>
            </w:r>
          </w:p>
        </w:tc>
      </w:tr>
      <w:tr w:rsidR="00F85905" w:rsidRPr="006C69B9" w:rsidTr="006C69B9">
        <w:trPr>
          <w:trHeight w:val="494"/>
        </w:trPr>
        <w:tc>
          <w:tcPr>
            <w:cnfStyle w:val="001000000000"/>
            <w:tcW w:w="2051" w:type="dxa"/>
            <w:vAlign w:val="center"/>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INDUSTRIJA UKUPNO</w:t>
            </w:r>
          </w:p>
        </w:tc>
        <w:tc>
          <w:tcPr>
            <w:tcW w:w="1009"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96,5</w:t>
            </w:r>
          </w:p>
        </w:tc>
        <w:tc>
          <w:tcPr>
            <w:tcW w:w="810"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91,5</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122,3</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97,5</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102,2</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102,6</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103,8</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100,8</w:t>
            </w:r>
          </w:p>
        </w:tc>
        <w:tc>
          <w:tcPr>
            <w:tcW w:w="778"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97,3</w:t>
            </w:r>
          </w:p>
        </w:tc>
      </w:tr>
      <w:tr w:rsidR="00F85905" w:rsidRPr="006C69B9" w:rsidTr="006C69B9">
        <w:trPr>
          <w:trHeight w:val="502"/>
        </w:trPr>
        <w:tc>
          <w:tcPr>
            <w:cnfStyle w:val="001000000000"/>
            <w:tcW w:w="2051" w:type="dxa"/>
            <w:vAlign w:val="center"/>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Intermedijarni proizvodi</w:t>
            </w:r>
          </w:p>
        </w:tc>
        <w:tc>
          <w:tcPr>
            <w:tcW w:w="1009"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101,3</w:t>
            </w:r>
          </w:p>
        </w:tc>
        <w:tc>
          <w:tcPr>
            <w:tcW w:w="810"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113,9</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101,5</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75,5</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107,2</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102,3</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103,8</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98,7</w:t>
            </w:r>
          </w:p>
        </w:tc>
        <w:tc>
          <w:tcPr>
            <w:tcW w:w="778"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95,5</w:t>
            </w:r>
          </w:p>
        </w:tc>
      </w:tr>
      <w:tr w:rsidR="00F85905" w:rsidRPr="006C69B9" w:rsidTr="006C69B9">
        <w:trPr>
          <w:trHeight w:val="582"/>
        </w:trPr>
        <w:tc>
          <w:tcPr>
            <w:cnfStyle w:val="001000000000"/>
            <w:tcW w:w="2051" w:type="dxa"/>
            <w:vAlign w:val="center"/>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Netrajni proiz. za široku potrošnju</w:t>
            </w:r>
          </w:p>
        </w:tc>
        <w:tc>
          <w:tcPr>
            <w:tcW w:w="1009"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97,9</w:t>
            </w:r>
          </w:p>
        </w:tc>
        <w:tc>
          <w:tcPr>
            <w:tcW w:w="810"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93</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90,3</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110,6</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96,4</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101,7</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105,5</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101,3</w:t>
            </w:r>
          </w:p>
        </w:tc>
        <w:tc>
          <w:tcPr>
            <w:tcW w:w="778"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100,2</w:t>
            </w:r>
          </w:p>
        </w:tc>
      </w:tr>
      <w:tr w:rsidR="00F85905" w:rsidRPr="006C69B9" w:rsidTr="006C69B9">
        <w:trPr>
          <w:trHeight w:val="436"/>
        </w:trPr>
        <w:tc>
          <w:tcPr>
            <w:cnfStyle w:val="001000000000"/>
            <w:tcW w:w="2051" w:type="dxa"/>
            <w:vAlign w:val="center"/>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Prerađivačka  industrija</w:t>
            </w:r>
          </w:p>
        </w:tc>
        <w:tc>
          <w:tcPr>
            <w:tcW w:w="1009"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102,2</w:t>
            </w:r>
          </w:p>
        </w:tc>
        <w:tc>
          <w:tcPr>
            <w:tcW w:w="810"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102,3</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101</w:t>
            </w:r>
          </w:p>
        </w:tc>
        <w:tc>
          <w:tcPr>
            <w:tcW w:w="782" w:type="dxa"/>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79,6</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104,2</w:t>
            </w:r>
          </w:p>
        </w:tc>
        <w:tc>
          <w:tcPr>
            <w:tcW w:w="810"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102,8</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104,6</w:t>
            </w:r>
          </w:p>
        </w:tc>
        <w:tc>
          <w:tcPr>
            <w:tcW w:w="782"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99,8</w:t>
            </w:r>
          </w:p>
        </w:tc>
        <w:tc>
          <w:tcPr>
            <w:tcW w:w="778" w:type="dxa"/>
            <w:shd w:val="clear" w:color="auto" w:fill="B6DDE8"/>
            <w:vAlign w:val="center"/>
          </w:tcPr>
          <w:p w:rsidR="006C69B9" w:rsidRPr="006C69B9" w:rsidRDefault="006C69B9" w:rsidP="006C69B9">
            <w:pPr>
              <w:contextualSpacing/>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97,9</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 xml:space="preserve">Izvor: Federalni zavod za statistiku </w:t>
      </w:r>
    </w:p>
    <w:p w:rsidR="006C69B9" w:rsidRPr="006C69B9" w:rsidRDefault="006C69B9" w:rsidP="006C69B9">
      <w:pPr>
        <w:spacing w:after="0"/>
        <w:jc w:val="both"/>
        <w:rPr>
          <w:rFonts w:ascii="Calibri" w:eastAsia="Calibri" w:hAnsi="Calibri" w:cs="Times New Roman"/>
          <w:b/>
          <w:i/>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Zbog globalne pandemije virusa COVID-19 uvedene su mnogobrojne mjere prevencije širenja bolesti u martu 2020. godine što će zasigurno utjecati na pad prometa industrije Hercegovačko-neretvanskog kantona tokom 2020. godine, sa mogućim posljedicama i u godinama koje slijede.</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10" w:name="_heading=h.1t3h5sf" w:colFirst="0" w:colLast="0"/>
      <w:bookmarkStart w:id="11" w:name="_Toc57573205"/>
      <w:bookmarkEnd w:id="10"/>
      <w:r w:rsidRPr="006C69B9">
        <w:rPr>
          <w:rFonts w:ascii="Calibri" w:eastAsia="Calibri" w:hAnsi="Calibri" w:cs="Times New Roman"/>
          <w:b/>
          <w:bCs/>
          <w:color w:val="4BACC6"/>
          <w:szCs w:val="26"/>
          <w:lang w:val="bs-Latn-BA" w:eastAsia="hr-HR"/>
        </w:rPr>
        <w:t>Investicije  i direktna strana ulaganja</w:t>
      </w:r>
      <w:bookmarkEnd w:id="11"/>
      <w:r w:rsidRPr="006C69B9">
        <w:rPr>
          <w:rFonts w:ascii="Calibri" w:eastAsia="Calibri" w:hAnsi="Calibri" w:cs="Times New Roman"/>
          <w:b/>
          <w:bCs/>
          <w:color w:val="4BACC6"/>
          <w:szCs w:val="26"/>
          <w:lang w:val="bs-Latn-BA" w:eastAsia="hr-HR"/>
        </w:rPr>
        <w:t xml:space="preserve">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i/>
          <w:lang w:val="bs-Latn-BA"/>
        </w:rPr>
        <w:br/>
      </w:r>
      <w:r w:rsidRPr="006C69B9">
        <w:rPr>
          <w:rFonts w:ascii="Calibri" w:eastAsia="Calibri" w:hAnsi="Calibri" w:cs="Times New Roman"/>
          <w:lang w:val="bs-Latn-BA"/>
        </w:rPr>
        <w:t xml:space="preserve">Ostvarene investicije u nova stalna sredstva po namjeni ulaganja i tehničkoj strukturi se odnose na investiranje na teritoriji HNK i djelatnostima kojima su investicije stvarno namijenjene, bez obzira na to u kojoj je djelatnosti registrovan investitor i gdje mu se nalazi sjedište. Ovaj princip je najrelevantniji kada su u pitanju kantoni.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U periodu 2015.-2018. godina, ostvarene investicije u nova stalna sredstva po navedenom principu u HNk iznose 1.123.832.000 KM, odnosno kreću se od 301.070.000 KM u 2015. godini do 295.797.000 KM u 2018. godini, od kada su dostupni posljedni podaci (Tabela 12.). Primjetan je negativan trend kretanja investicija u HNK, što je suprotno od trenda prisutnog u F BiH te iz tog razloga udio ostvarenih investicija na području HNK u ukupnoj vrijednostiinvesticija u F BiH se smanjio sa 10,69% u 2015. na 8,71% u 2018.</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12</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Ostvarene investicije u nova stalna sredstva u mil. KM – princip čiste djelatnosti na području HNK i FBiH u periodu 2015.-2018. godina</w:t>
      </w:r>
    </w:p>
    <w:tbl>
      <w:tblPr>
        <w:tblStyle w:val="MediumGrid3-Accent51"/>
        <w:tblW w:w="9840" w:type="dxa"/>
        <w:tblLayout w:type="fixed"/>
        <w:tblLook w:val="04A0"/>
      </w:tblPr>
      <w:tblGrid>
        <w:gridCol w:w="3620"/>
        <w:gridCol w:w="1560"/>
        <w:gridCol w:w="1640"/>
        <w:gridCol w:w="1680"/>
        <w:gridCol w:w="1340"/>
      </w:tblGrid>
      <w:tr w:rsidR="00F85905" w:rsidRPr="006C69B9" w:rsidTr="006C69B9">
        <w:trPr>
          <w:cnfStyle w:val="100000000000"/>
          <w:trHeight w:val="228"/>
        </w:trPr>
        <w:tc>
          <w:tcPr>
            <w:cnfStyle w:val="001000000000"/>
            <w:tcW w:w="3620" w:type="dxa"/>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 </w:t>
            </w:r>
          </w:p>
        </w:tc>
        <w:tc>
          <w:tcPr>
            <w:tcW w:w="1560"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2015.</w:t>
            </w:r>
          </w:p>
        </w:tc>
        <w:tc>
          <w:tcPr>
            <w:tcW w:w="1640"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2016.</w:t>
            </w:r>
          </w:p>
        </w:tc>
        <w:tc>
          <w:tcPr>
            <w:tcW w:w="1680"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2017.</w:t>
            </w:r>
          </w:p>
        </w:tc>
        <w:tc>
          <w:tcPr>
            <w:tcW w:w="1340"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2018.</w:t>
            </w:r>
          </w:p>
        </w:tc>
      </w:tr>
      <w:tr w:rsidR="00F85905" w:rsidRPr="006C69B9" w:rsidTr="006C69B9">
        <w:trPr>
          <w:cnfStyle w:val="000000100000"/>
          <w:trHeight w:val="456"/>
        </w:trPr>
        <w:tc>
          <w:tcPr>
            <w:cnfStyle w:val="001000000000"/>
            <w:tcW w:w="3620"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Ostvarene investicije u nova stalna sredstva u mil. KM / princip čistih djelatnosti</w:t>
            </w:r>
          </w:p>
        </w:tc>
        <w:tc>
          <w:tcPr>
            <w:tcW w:w="156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301.070</w:t>
            </w:r>
          </w:p>
        </w:tc>
        <w:tc>
          <w:tcPr>
            <w:tcW w:w="164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259.021</w:t>
            </w:r>
          </w:p>
        </w:tc>
        <w:tc>
          <w:tcPr>
            <w:tcW w:w="168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267.944</w:t>
            </w:r>
          </w:p>
        </w:tc>
        <w:tc>
          <w:tcPr>
            <w:tcW w:w="134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295.797</w:t>
            </w:r>
          </w:p>
        </w:tc>
      </w:tr>
      <w:tr w:rsidR="00F85905" w:rsidRPr="006C69B9" w:rsidTr="006C69B9">
        <w:trPr>
          <w:trHeight w:val="456"/>
        </w:trPr>
        <w:tc>
          <w:tcPr>
            <w:cnfStyle w:val="001000000000"/>
            <w:tcW w:w="3620"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Ostvarene investicije u nova stalna sredstva u mil. KM / princip čistih djelatnosti - FBIH</w:t>
            </w:r>
          </w:p>
        </w:tc>
        <w:tc>
          <w:tcPr>
            <w:tcW w:w="156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2.816.607</w:t>
            </w:r>
          </w:p>
        </w:tc>
        <w:tc>
          <w:tcPr>
            <w:tcW w:w="164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2.875.950</w:t>
            </w:r>
          </w:p>
        </w:tc>
        <w:tc>
          <w:tcPr>
            <w:tcW w:w="168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3.292.112</w:t>
            </w:r>
          </w:p>
        </w:tc>
        <w:tc>
          <w:tcPr>
            <w:tcW w:w="1340"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3.397.560</w:t>
            </w:r>
          </w:p>
        </w:tc>
      </w:tr>
      <w:tr w:rsidR="00F85905" w:rsidRPr="006C69B9" w:rsidTr="006C69B9">
        <w:trPr>
          <w:cnfStyle w:val="000000100000"/>
          <w:trHeight w:val="228"/>
        </w:trPr>
        <w:tc>
          <w:tcPr>
            <w:cnfStyle w:val="001000000000"/>
            <w:tcW w:w="3620"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Udio HNK u FBiH</w:t>
            </w:r>
          </w:p>
        </w:tc>
        <w:tc>
          <w:tcPr>
            <w:tcW w:w="156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10,69%</w:t>
            </w:r>
          </w:p>
        </w:tc>
        <w:tc>
          <w:tcPr>
            <w:tcW w:w="164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9,01%</w:t>
            </w:r>
          </w:p>
        </w:tc>
        <w:tc>
          <w:tcPr>
            <w:tcW w:w="168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8,14%</w:t>
            </w:r>
          </w:p>
        </w:tc>
        <w:tc>
          <w:tcPr>
            <w:tcW w:w="1340" w:type="dxa"/>
          </w:tcPr>
          <w:p w:rsidR="006C69B9" w:rsidRPr="006C69B9" w:rsidRDefault="006C69B9" w:rsidP="006C69B9">
            <w:pPr>
              <w:jc w:val="center"/>
              <w:cnfStyle w:val="0000001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8,71%</w:t>
            </w:r>
          </w:p>
        </w:tc>
      </w:tr>
    </w:tbl>
    <w:p w:rsidR="006C69B9" w:rsidRPr="006C69B9" w:rsidRDefault="006C69B9" w:rsidP="006C69B9">
      <w:pPr>
        <w:jc w:val="both"/>
        <w:rPr>
          <w:rFonts w:ascii="Calibri" w:eastAsia="Calibri" w:hAnsi="Calibri" w:cs="Times New Roman"/>
          <w:i/>
          <w:lang w:val="bs-Latn-BA"/>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12" w:name="_heading=h.4d34og8" w:colFirst="0" w:colLast="0"/>
      <w:bookmarkStart w:id="13" w:name="_Toc57573206"/>
      <w:bookmarkEnd w:id="12"/>
      <w:r w:rsidRPr="006C69B9">
        <w:rPr>
          <w:rFonts w:ascii="Calibri" w:eastAsia="Calibri" w:hAnsi="Calibri" w:cs="Times New Roman"/>
          <w:b/>
          <w:bCs/>
          <w:color w:val="4BACC6"/>
          <w:szCs w:val="26"/>
          <w:lang w:val="bs-Latn-BA" w:eastAsia="hr-HR"/>
        </w:rPr>
        <w:t xml:space="preserve"> Poslovni subjekti Hercegovačko-neretvanskog  kantona</w:t>
      </w:r>
      <w:bookmarkEnd w:id="13"/>
      <w:r w:rsidRPr="006C69B9">
        <w:rPr>
          <w:rFonts w:ascii="Calibri" w:eastAsia="Calibri" w:hAnsi="Calibri" w:cs="Times New Roman"/>
          <w:b/>
          <w:bCs/>
          <w:color w:val="4BACC6"/>
          <w:szCs w:val="26"/>
          <w:lang w:val="bs-Latn-BA" w:eastAsia="hr-HR"/>
        </w:rPr>
        <w:t xml:space="preserve">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U posmatranom periodu od 2016. do 2019. godine na području Hercegovačko-neretvanskog kantona došlo je do kontinuiranog rasta broja poslovnih subjekata te je u 2019. godini broj registrovanih poslovnih subjekata iznosio 17.593 što je za 970 ili 5,83% više od 2016. godine, odnosno za 383 ili 2,18% više nego u 2018. godini. Udio broja poslovnih subjekata sa područja HNK u ukupnom broju poslovnih subjekata F BiH je isti i iznosi cca 15,5% (Tabela 13.).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13</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Kretanje broja poslovnih subjekata, pravnih lica i obrta  na području Hercegovačko-neretvanskog kantona i Federacije BiH u periodu 2016.-2019. godina</w:t>
      </w:r>
    </w:p>
    <w:tbl>
      <w:tblPr>
        <w:tblStyle w:val="MediumGrid3-Accent51"/>
        <w:tblW w:w="9072" w:type="dxa"/>
        <w:jc w:val="center"/>
        <w:tblLayout w:type="fixed"/>
        <w:tblLook w:val="06A0"/>
      </w:tblPr>
      <w:tblGrid>
        <w:gridCol w:w="1731"/>
        <w:gridCol w:w="1665"/>
        <w:gridCol w:w="1419"/>
        <w:gridCol w:w="1419"/>
        <w:gridCol w:w="1419"/>
        <w:gridCol w:w="1419"/>
      </w:tblGrid>
      <w:tr w:rsidR="00F85905" w:rsidRPr="006C69B9" w:rsidTr="006C69B9">
        <w:trPr>
          <w:cnfStyle w:val="100000000000"/>
          <w:trHeight w:val="20"/>
          <w:jc w:val="center"/>
        </w:trPr>
        <w:tc>
          <w:tcPr>
            <w:cnfStyle w:val="001000000000"/>
            <w:tcW w:w="1731" w:type="dxa"/>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Godina</w:t>
            </w:r>
          </w:p>
        </w:tc>
        <w:tc>
          <w:tcPr>
            <w:tcW w:w="1665"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 xml:space="preserve">Administrativna </w:t>
            </w:r>
            <w:r w:rsidRPr="006C69B9">
              <w:rPr>
                <w:rFonts w:ascii="Calibri" w:eastAsia="Calibri" w:hAnsi="Calibri" w:cs="Times New Roman"/>
                <w:sz w:val="18"/>
                <w:szCs w:val="18"/>
                <w:lang w:val="bs-Latn-BA"/>
              </w:rPr>
              <w:lastRenderedPageBreak/>
              <w:t>jedinica</w:t>
            </w:r>
          </w:p>
        </w:tc>
        <w:tc>
          <w:tcPr>
            <w:tcW w:w="1419"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lastRenderedPageBreak/>
              <w:t xml:space="preserve">Ukupno </w:t>
            </w:r>
            <w:r w:rsidRPr="006C69B9">
              <w:rPr>
                <w:rFonts w:ascii="Calibri" w:eastAsia="Calibri" w:hAnsi="Calibri" w:cs="Times New Roman"/>
                <w:sz w:val="18"/>
                <w:szCs w:val="18"/>
                <w:lang w:val="bs-Latn-BA"/>
              </w:rPr>
              <w:lastRenderedPageBreak/>
              <w:t>poslovnih subjekata</w:t>
            </w:r>
          </w:p>
        </w:tc>
        <w:tc>
          <w:tcPr>
            <w:tcW w:w="1419"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lastRenderedPageBreak/>
              <w:t>Pravna lica</w:t>
            </w:r>
          </w:p>
        </w:tc>
        <w:tc>
          <w:tcPr>
            <w:tcW w:w="1419"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 xml:space="preserve">Jedinice u </w:t>
            </w:r>
            <w:r w:rsidRPr="006C69B9">
              <w:rPr>
                <w:rFonts w:ascii="Calibri" w:eastAsia="Calibri" w:hAnsi="Calibri" w:cs="Times New Roman"/>
                <w:sz w:val="18"/>
                <w:szCs w:val="18"/>
                <w:lang w:val="bs-Latn-BA"/>
              </w:rPr>
              <w:lastRenderedPageBreak/>
              <w:t>sastavu pravnih lica</w:t>
            </w:r>
          </w:p>
        </w:tc>
        <w:tc>
          <w:tcPr>
            <w:tcW w:w="1419" w:type="dxa"/>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lastRenderedPageBreak/>
              <w:t xml:space="preserve">Fizička lica - </w:t>
            </w:r>
            <w:r w:rsidRPr="006C69B9">
              <w:rPr>
                <w:rFonts w:ascii="Calibri" w:eastAsia="Calibri" w:hAnsi="Calibri" w:cs="Times New Roman"/>
                <w:sz w:val="18"/>
                <w:szCs w:val="18"/>
                <w:lang w:val="bs-Latn-BA"/>
              </w:rPr>
              <w:lastRenderedPageBreak/>
              <w:t>obrtnici</w:t>
            </w:r>
          </w:p>
        </w:tc>
      </w:tr>
      <w:tr w:rsidR="00F85905" w:rsidRPr="006C69B9" w:rsidTr="006C69B9">
        <w:trPr>
          <w:trHeight w:val="20"/>
          <w:jc w:val="center"/>
        </w:trPr>
        <w:tc>
          <w:tcPr>
            <w:cnfStyle w:val="001000000000"/>
            <w:tcW w:w="1731" w:type="dxa"/>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lastRenderedPageBreak/>
              <w:t> </w:t>
            </w:r>
          </w:p>
        </w:tc>
        <w:tc>
          <w:tcPr>
            <w:tcW w:w="1665"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w:t>
            </w:r>
          </w:p>
        </w:tc>
        <w:tc>
          <w:tcPr>
            <w:tcW w:w="1419" w:type="dxa"/>
          </w:tcPr>
          <w:p w:rsidR="006C69B9" w:rsidRPr="006C69B9" w:rsidRDefault="006C69B9" w:rsidP="006C69B9">
            <w:pPr>
              <w:ind w:firstLine="360"/>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2=3+5</w:t>
            </w:r>
          </w:p>
        </w:tc>
        <w:tc>
          <w:tcPr>
            <w:tcW w:w="1419"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w:t>
            </w:r>
          </w:p>
        </w:tc>
        <w:tc>
          <w:tcPr>
            <w:tcW w:w="1419"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w:t>
            </w:r>
          </w:p>
        </w:tc>
        <w:tc>
          <w:tcPr>
            <w:tcW w:w="1419" w:type="dxa"/>
          </w:tcPr>
          <w:p w:rsidR="006C69B9" w:rsidRPr="006C69B9" w:rsidRDefault="006C69B9" w:rsidP="006C69B9">
            <w:pPr>
              <w:jc w:val="cente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w:t>
            </w:r>
          </w:p>
        </w:tc>
      </w:tr>
      <w:tr w:rsidR="00F85905" w:rsidRPr="006C69B9" w:rsidTr="006C69B9">
        <w:trPr>
          <w:trHeight w:val="20"/>
          <w:jc w:val="center"/>
        </w:trPr>
        <w:tc>
          <w:tcPr>
            <w:cnfStyle w:val="001000000000"/>
            <w:tcW w:w="1731" w:type="dxa"/>
            <w:vMerge w:val="restart"/>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2019.</w:t>
            </w: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 xml:space="preserve">HNK </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17.593</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7.267</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3.393</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6.933</w:t>
            </w:r>
          </w:p>
        </w:tc>
      </w:tr>
      <w:tr w:rsidR="00F85905" w:rsidRPr="006C69B9" w:rsidTr="006C69B9">
        <w:trPr>
          <w:trHeight w:val="20"/>
          <w:jc w:val="center"/>
        </w:trPr>
        <w:tc>
          <w:tcPr>
            <w:cnfStyle w:val="001000000000"/>
            <w:tcW w:w="1731" w:type="dxa"/>
            <w:vMerge/>
            <w:vAlign w:val="center"/>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Federacija BiH</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112.955</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59.199</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30.868</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52.161</w:t>
            </w:r>
          </w:p>
        </w:tc>
      </w:tr>
      <w:tr w:rsidR="00F85905" w:rsidRPr="006C69B9" w:rsidTr="006C69B9">
        <w:trPr>
          <w:trHeight w:val="20"/>
          <w:jc w:val="center"/>
        </w:trPr>
        <w:tc>
          <w:tcPr>
            <w:cnfStyle w:val="001000000000"/>
            <w:tcW w:w="1731" w:type="dxa"/>
            <w:vMerge/>
            <w:vAlign w:val="center"/>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HNK %</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15,58</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12,28</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10,99</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13,29</w:t>
            </w:r>
          </w:p>
        </w:tc>
      </w:tr>
      <w:tr w:rsidR="00F85905" w:rsidRPr="006C69B9" w:rsidTr="006C69B9">
        <w:trPr>
          <w:trHeight w:val="20"/>
          <w:jc w:val="center"/>
        </w:trPr>
        <w:tc>
          <w:tcPr>
            <w:cnfStyle w:val="001000000000"/>
            <w:tcW w:w="1731" w:type="dxa"/>
            <w:vMerge w:val="restart"/>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2018.</w:t>
            </w: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HNK</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17.210</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7.036</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3.265</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6.909</w:t>
            </w:r>
          </w:p>
        </w:tc>
      </w:tr>
      <w:tr w:rsidR="00F85905" w:rsidRPr="006C69B9" w:rsidTr="006C69B9">
        <w:trPr>
          <w:trHeight w:val="20"/>
          <w:jc w:val="center"/>
        </w:trPr>
        <w:tc>
          <w:tcPr>
            <w:cnfStyle w:val="001000000000"/>
            <w:tcW w:w="1731" w:type="dxa"/>
            <w:vMerge/>
            <w:vAlign w:val="center"/>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Federacija BiH</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110.536</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59.199</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29.539</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51.337</w:t>
            </w:r>
          </w:p>
        </w:tc>
      </w:tr>
      <w:tr w:rsidR="00F85905" w:rsidRPr="006C69B9" w:rsidTr="006C69B9">
        <w:trPr>
          <w:trHeight w:val="20"/>
          <w:jc w:val="center"/>
        </w:trPr>
        <w:tc>
          <w:tcPr>
            <w:cnfStyle w:val="001000000000"/>
            <w:tcW w:w="1731" w:type="dxa"/>
            <w:vMerge/>
            <w:vAlign w:val="center"/>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HNK %</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15,57</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11,89</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11,05</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13,46</w:t>
            </w:r>
          </w:p>
        </w:tc>
      </w:tr>
      <w:tr w:rsidR="00F85905" w:rsidRPr="006C69B9" w:rsidTr="006C69B9">
        <w:trPr>
          <w:trHeight w:val="20"/>
          <w:jc w:val="center"/>
        </w:trPr>
        <w:tc>
          <w:tcPr>
            <w:cnfStyle w:val="001000000000"/>
            <w:tcW w:w="1731" w:type="dxa"/>
            <w:vMerge w:val="restart"/>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2017.</w:t>
            </w:r>
          </w:p>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 </w:t>
            </w: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HNK</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16.536</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6.800</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3.201</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6.535</w:t>
            </w:r>
          </w:p>
        </w:tc>
      </w:tr>
      <w:tr w:rsidR="00F85905" w:rsidRPr="006C69B9" w:rsidTr="006C69B9">
        <w:trPr>
          <w:trHeight w:val="20"/>
          <w:jc w:val="center"/>
        </w:trPr>
        <w:tc>
          <w:tcPr>
            <w:cnfStyle w:val="001000000000"/>
            <w:tcW w:w="1731" w:type="dxa"/>
            <w:vMerge/>
            <w:vAlign w:val="center"/>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Federacija BiH</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105.961</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57.143</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29.378</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48.818</w:t>
            </w:r>
          </w:p>
        </w:tc>
      </w:tr>
      <w:tr w:rsidR="00F85905" w:rsidRPr="006C69B9" w:rsidTr="006C69B9">
        <w:trPr>
          <w:trHeight w:val="321"/>
          <w:jc w:val="center"/>
        </w:trPr>
        <w:tc>
          <w:tcPr>
            <w:cnfStyle w:val="001000000000"/>
            <w:tcW w:w="1731" w:type="dxa"/>
            <w:vMerge/>
            <w:vAlign w:val="center"/>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HNK %</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15,61</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11,90</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10,90</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13,39</w:t>
            </w:r>
          </w:p>
        </w:tc>
      </w:tr>
      <w:tr w:rsidR="00F85905" w:rsidRPr="006C69B9" w:rsidTr="006C69B9">
        <w:trPr>
          <w:trHeight w:val="20"/>
          <w:jc w:val="center"/>
        </w:trPr>
        <w:tc>
          <w:tcPr>
            <w:cnfStyle w:val="001000000000"/>
            <w:tcW w:w="1731" w:type="dxa"/>
            <w:vMerge w:val="restart"/>
            <w:vAlign w:val="center"/>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2016.</w:t>
            </w: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HNK</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16.623</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6.658</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3.147</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6.818</w:t>
            </w:r>
          </w:p>
        </w:tc>
      </w:tr>
      <w:tr w:rsidR="00F85905" w:rsidRPr="006C69B9" w:rsidTr="006C69B9">
        <w:trPr>
          <w:trHeight w:val="20"/>
          <w:jc w:val="center"/>
        </w:trPr>
        <w:tc>
          <w:tcPr>
            <w:cnfStyle w:val="001000000000"/>
            <w:tcW w:w="1731"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color w:val="000000"/>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Federacija BiH</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105.083</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55.487</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28.936</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49.596</w:t>
            </w:r>
          </w:p>
        </w:tc>
      </w:tr>
      <w:tr w:rsidR="00F85905" w:rsidRPr="006C69B9" w:rsidTr="006C69B9">
        <w:trPr>
          <w:trHeight w:val="20"/>
          <w:jc w:val="center"/>
        </w:trPr>
        <w:tc>
          <w:tcPr>
            <w:cnfStyle w:val="001000000000"/>
            <w:tcW w:w="1731"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color w:val="000000"/>
                <w:sz w:val="18"/>
                <w:szCs w:val="18"/>
                <w:lang w:val="bs-Latn-BA"/>
              </w:rPr>
            </w:pPr>
          </w:p>
        </w:tc>
        <w:tc>
          <w:tcPr>
            <w:tcW w:w="1665" w:type="dxa"/>
          </w:tcPr>
          <w:p w:rsidR="006C69B9" w:rsidRPr="006C69B9" w:rsidRDefault="006C69B9" w:rsidP="006C69B9">
            <w:pPr>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HNK %</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15,82</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12,00</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10,88</w:t>
            </w:r>
          </w:p>
        </w:tc>
        <w:tc>
          <w:tcPr>
            <w:tcW w:w="1419"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13,75</w:t>
            </w:r>
          </w:p>
        </w:tc>
      </w:tr>
    </w:tbl>
    <w:p w:rsidR="006C69B9" w:rsidRPr="006C69B9" w:rsidRDefault="006C69B9" w:rsidP="006C69B9">
      <w:pPr>
        <w:spacing w:after="0" w:line="240" w:lineRule="auto"/>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Izvor: Federalni zavod za programiranje razvoja</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Posmatrajući oblik organizacije poslovnih subjekata, najveći porast u posmatranom periodu su zabilježila pravna lica čiji je broj povećan za 9,14% ili 609 subjekata, dok je broj obrta povećan za tek 1,68% ili 115 novoregistrovanih obrta u odnosu na 2016. godinu. Tokom 2019.godine na prostoru Hercegovačko-neretvanskog kantona je zabilježen rad 6.933 obrta koji čine 14% obrtnika na području cijele Federacije BiH.</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Sektorskom strukturom obrta na području Hercegovačko-neretvanskog kantona u 2019. godini preovladavaju obrtnici koji djeluju u Djelatnosti pružanja smještaja te pripreme i usluživanja hrane (29,7%), djelatnosti Trgovine na veliko i malo; popravak motornih vozila i motocikla (25,13%) te Prerađivačke industrije (10,7%) (Tabela 14.)</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14</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Sektorska struktura obrta na području Hercegovačko-neretvanskogkantona</w:t>
      </w:r>
      <w:r w:rsidRPr="006C69B9">
        <w:rPr>
          <w:rFonts w:ascii="Calibri" w:eastAsia="Calibri" w:hAnsi="Calibri" w:cs="Calibri Light"/>
          <w:bCs/>
          <w:i/>
          <w:color w:val="31849B"/>
          <w:sz w:val="20"/>
        </w:rPr>
        <w:br/>
        <w:t>u periodu 2015.-2019. godina</w:t>
      </w:r>
    </w:p>
    <w:tbl>
      <w:tblPr>
        <w:tblStyle w:val="MediumGrid3-Accent51"/>
        <w:tblW w:w="8778" w:type="dxa"/>
        <w:jc w:val="center"/>
        <w:tblLayout w:type="fixed"/>
        <w:tblLook w:val="06E0"/>
      </w:tblPr>
      <w:tblGrid>
        <w:gridCol w:w="4503"/>
        <w:gridCol w:w="855"/>
        <w:gridCol w:w="855"/>
        <w:gridCol w:w="855"/>
        <w:gridCol w:w="855"/>
        <w:gridCol w:w="836"/>
        <w:gridCol w:w="19"/>
      </w:tblGrid>
      <w:tr w:rsidR="00F85905" w:rsidRPr="006C69B9" w:rsidTr="006C69B9">
        <w:trPr>
          <w:gridAfter w:val="1"/>
          <w:cnfStyle w:val="100000000000"/>
          <w:wAfter w:w="19" w:type="dxa"/>
          <w:trHeight w:val="269"/>
          <w:jc w:val="center"/>
        </w:trPr>
        <w:tc>
          <w:tcPr>
            <w:cnfStyle w:val="001000000000"/>
            <w:tcW w:w="4503" w:type="dxa"/>
            <w:vMerge w:val="restart"/>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Vrsta djelatnosti</w:t>
            </w:r>
          </w:p>
          <w:p w:rsidR="006C69B9" w:rsidRPr="006C69B9" w:rsidRDefault="006C69B9" w:rsidP="006C69B9">
            <w:pPr>
              <w:jc w:val="center"/>
              <w:rPr>
                <w:rFonts w:ascii="Calibri" w:eastAsia="Calibri" w:hAnsi="Calibri" w:cs="Times New Roman"/>
                <w:sz w:val="18"/>
                <w:szCs w:val="18"/>
                <w:lang w:val="bs-Latn-BA"/>
              </w:rPr>
            </w:pPr>
          </w:p>
        </w:tc>
        <w:tc>
          <w:tcPr>
            <w:tcW w:w="4256" w:type="dxa"/>
            <w:gridSpan w:val="5"/>
            <w:vAlign w:val="center"/>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obrta</w:t>
            </w:r>
          </w:p>
        </w:tc>
      </w:tr>
      <w:tr w:rsidR="00F85905" w:rsidRPr="006C69B9" w:rsidTr="006C69B9">
        <w:trPr>
          <w:trHeight w:val="264"/>
          <w:jc w:val="center"/>
        </w:trPr>
        <w:tc>
          <w:tcPr>
            <w:cnfStyle w:val="001000000000"/>
            <w:tcW w:w="4503" w:type="dxa"/>
            <w:vMerge/>
            <w:vAlign w:val="center"/>
          </w:tcPr>
          <w:p w:rsidR="006C69B9" w:rsidRPr="006C69B9" w:rsidRDefault="006C69B9" w:rsidP="006C69B9">
            <w:pPr>
              <w:widowControl w:val="0"/>
              <w:pBdr>
                <w:top w:val="nil"/>
                <w:left w:val="nil"/>
                <w:bottom w:val="nil"/>
                <w:right w:val="nil"/>
                <w:between w:val="nil"/>
              </w:pBdr>
              <w:spacing w:line="276" w:lineRule="auto"/>
              <w:jc w:val="center"/>
              <w:rPr>
                <w:rFonts w:ascii="Calibri" w:eastAsia="Calibri" w:hAnsi="Calibri" w:cs="Times New Roman"/>
                <w:sz w:val="18"/>
                <w:szCs w:val="18"/>
                <w:lang w:val="bs-Latn-BA"/>
              </w:rPr>
            </w:pPr>
          </w:p>
        </w:tc>
        <w:tc>
          <w:tcPr>
            <w:tcW w:w="855" w:type="dxa"/>
            <w:shd w:val="clear" w:color="auto" w:fill="4BACC6"/>
            <w:vAlign w:val="center"/>
          </w:tcPr>
          <w:p w:rsidR="006C69B9" w:rsidRPr="006C69B9" w:rsidRDefault="006C69B9" w:rsidP="006C69B9">
            <w:pPr>
              <w:jc w:val="center"/>
              <w:cnfStyle w:val="000000000000"/>
              <w:rPr>
                <w:rFonts w:ascii="Calibri" w:eastAsia="Calibri" w:hAnsi="Calibri" w:cs="Times New Roman"/>
                <w:color w:val="FFFFFF"/>
                <w:sz w:val="18"/>
                <w:szCs w:val="18"/>
                <w:lang w:val="bs-Latn-BA"/>
              </w:rPr>
            </w:pPr>
            <w:r w:rsidRPr="006C69B9">
              <w:rPr>
                <w:rFonts w:ascii="Calibri" w:eastAsia="Calibri" w:hAnsi="Calibri" w:cs="Times New Roman"/>
                <w:color w:val="FFFFFF"/>
                <w:sz w:val="18"/>
                <w:szCs w:val="18"/>
                <w:lang w:val="bs-Latn-BA"/>
              </w:rPr>
              <w:t>2015.</w:t>
            </w:r>
          </w:p>
        </w:tc>
        <w:tc>
          <w:tcPr>
            <w:tcW w:w="855" w:type="dxa"/>
            <w:shd w:val="clear" w:color="auto" w:fill="4BACC6"/>
            <w:vAlign w:val="center"/>
          </w:tcPr>
          <w:p w:rsidR="006C69B9" w:rsidRPr="006C69B9" w:rsidRDefault="006C69B9" w:rsidP="006C69B9">
            <w:pPr>
              <w:jc w:val="center"/>
              <w:cnfStyle w:val="000000000000"/>
              <w:rPr>
                <w:rFonts w:ascii="Calibri" w:eastAsia="Calibri" w:hAnsi="Calibri" w:cs="Times New Roman"/>
                <w:color w:val="FFFFFF"/>
                <w:sz w:val="18"/>
                <w:szCs w:val="18"/>
                <w:lang w:val="bs-Latn-BA"/>
              </w:rPr>
            </w:pPr>
            <w:r w:rsidRPr="006C69B9">
              <w:rPr>
                <w:rFonts w:ascii="Calibri" w:eastAsia="Calibri" w:hAnsi="Calibri" w:cs="Times New Roman"/>
                <w:color w:val="FFFFFF"/>
                <w:sz w:val="18"/>
                <w:szCs w:val="18"/>
                <w:lang w:val="bs-Latn-BA"/>
              </w:rPr>
              <w:t>2016.</w:t>
            </w:r>
          </w:p>
        </w:tc>
        <w:tc>
          <w:tcPr>
            <w:tcW w:w="855" w:type="dxa"/>
            <w:shd w:val="clear" w:color="auto" w:fill="4BACC6"/>
            <w:vAlign w:val="center"/>
          </w:tcPr>
          <w:p w:rsidR="006C69B9" w:rsidRPr="006C69B9" w:rsidRDefault="006C69B9" w:rsidP="006C69B9">
            <w:pPr>
              <w:jc w:val="center"/>
              <w:cnfStyle w:val="000000000000"/>
              <w:rPr>
                <w:rFonts w:ascii="Calibri" w:eastAsia="Calibri" w:hAnsi="Calibri" w:cs="Times New Roman"/>
                <w:color w:val="FFFFFF"/>
                <w:sz w:val="18"/>
                <w:szCs w:val="18"/>
                <w:lang w:val="bs-Latn-BA"/>
              </w:rPr>
            </w:pPr>
            <w:r w:rsidRPr="006C69B9">
              <w:rPr>
                <w:rFonts w:ascii="Calibri" w:eastAsia="Calibri" w:hAnsi="Calibri" w:cs="Times New Roman"/>
                <w:color w:val="FFFFFF"/>
                <w:sz w:val="18"/>
                <w:szCs w:val="18"/>
                <w:lang w:val="bs-Latn-BA"/>
              </w:rPr>
              <w:t>2017.</w:t>
            </w:r>
          </w:p>
        </w:tc>
        <w:tc>
          <w:tcPr>
            <w:tcW w:w="855" w:type="dxa"/>
            <w:shd w:val="clear" w:color="auto" w:fill="4BACC6"/>
            <w:vAlign w:val="center"/>
          </w:tcPr>
          <w:p w:rsidR="006C69B9" w:rsidRPr="006C69B9" w:rsidRDefault="006C69B9" w:rsidP="006C69B9">
            <w:pPr>
              <w:jc w:val="center"/>
              <w:cnfStyle w:val="000000000000"/>
              <w:rPr>
                <w:rFonts w:ascii="Calibri" w:eastAsia="Calibri" w:hAnsi="Calibri" w:cs="Times New Roman"/>
                <w:color w:val="FFFFFF"/>
                <w:sz w:val="18"/>
                <w:szCs w:val="18"/>
                <w:lang w:val="bs-Latn-BA"/>
              </w:rPr>
            </w:pPr>
            <w:r w:rsidRPr="006C69B9">
              <w:rPr>
                <w:rFonts w:ascii="Calibri" w:eastAsia="Calibri" w:hAnsi="Calibri" w:cs="Times New Roman"/>
                <w:color w:val="FFFFFF"/>
                <w:sz w:val="18"/>
                <w:szCs w:val="18"/>
                <w:lang w:val="bs-Latn-BA"/>
              </w:rPr>
              <w:t>2018.</w:t>
            </w:r>
          </w:p>
        </w:tc>
        <w:tc>
          <w:tcPr>
            <w:tcW w:w="855" w:type="dxa"/>
            <w:gridSpan w:val="2"/>
            <w:shd w:val="clear" w:color="auto" w:fill="4BACC6"/>
            <w:vAlign w:val="center"/>
          </w:tcPr>
          <w:p w:rsidR="006C69B9" w:rsidRPr="006C69B9" w:rsidRDefault="006C69B9" w:rsidP="006C69B9">
            <w:pPr>
              <w:jc w:val="center"/>
              <w:cnfStyle w:val="000000000000"/>
              <w:rPr>
                <w:rFonts w:ascii="Calibri" w:eastAsia="Calibri" w:hAnsi="Calibri" w:cs="Times New Roman"/>
                <w:color w:val="FFFFFF"/>
                <w:sz w:val="18"/>
                <w:szCs w:val="18"/>
                <w:lang w:val="bs-Latn-BA"/>
              </w:rPr>
            </w:pPr>
            <w:r w:rsidRPr="006C69B9">
              <w:rPr>
                <w:rFonts w:ascii="Calibri" w:eastAsia="Calibri" w:hAnsi="Calibri" w:cs="Times New Roman"/>
                <w:color w:val="FFFFFF"/>
                <w:sz w:val="18"/>
                <w:szCs w:val="18"/>
                <w:lang w:val="bs-Latn-BA"/>
              </w:rPr>
              <w:t>2019.</w:t>
            </w:r>
          </w:p>
        </w:tc>
      </w:tr>
      <w:tr w:rsidR="00F85905" w:rsidRPr="006C69B9" w:rsidTr="006C69B9">
        <w:trPr>
          <w:trHeight w:val="264"/>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Poljoprivreda, šumarstvo i ribarstvo</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339</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361</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403</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481</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473</w:t>
            </w:r>
          </w:p>
        </w:tc>
      </w:tr>
      <w:tr w:rsidR="00F85905" w:rsidRPr="006C69B9" w:rsidTr="006C69B9">
        <w:trPr>
          <w:trHeight w:val="264"/>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Vađenje ruda i kamena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w:t>
            </w:r>
          </w:p>
        </w:tc>
      </w:tr>
      <w:tr w:rsidR="00F85905" w:rsidRPr="006C69B9" w:rsidTr="006C69B9">
        <w:trPr>
          <w:trHeight w:val="264"/>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Prerađivačka industrija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706</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704</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718</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742</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745</w:t>
            </w:r>
          </w:p>
        </w:tc>
      </w:tr>
      <w:tr w:rsidR="00F85905" w:rsidRPr="006C69B9" w:rsidTr="006C69B9">
        <w:trPr>
          <w:trHeight w:val="292"/>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Proizvodnja i snabdjevanje/opskrba električnom energijom, plinom, parom i klimatizacija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14</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20</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30</w:t>
            </w:r>
          </w:p>
        </w:tc>
      </w:tr>
      <w:tr w:rsidR="00F85905" w:rsidRPr="006C69B9" w:rsidTr="006C69B9">
        <w:trPr>
          <w:trHeight w:val="270"/>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Snabdjevanje/opskrba vodom; uklanjanje otpadnih voda, upravljanje otpadom te djelatnosti sanacije okoliša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w:t>
            </w:r>
          </w:p>
        </w:tc>
      </w:tr>
      <w:tr w:rsidR="00F85905" w:rsidRPr="006C69B9" w:rsidTr="006C69B9">
        <w:trPr>
          <w:trHeight w:val="228"/>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 xml:space="preserve">Građevinarstvo </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250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248</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243</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251</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243</w:t>
            </w:r>
          </w:p>
        </w:tc>
      </w:tr>
      <w:tr w:rsidR="00F85905" w:rsidRPr="006C69B9" w:rsidTr="006C69B9">
        <w:trPr>
          <w:trHeight w:val="456"/>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Trgovina na veliko i malo; popravak motornih vozila i motocikala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2.095</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1.856</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1.729</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1.807</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1.742</w:t>
            </w:r>
          </w:p>
        </w:tc>
      </w:tr>
      <w:tr w:rsidR="00F85905" w:rsidRPr="006C69B9" w:rsidTr="006C69B9">
        <w:trPr>
          <w:trHeight w:val="228"/>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Prijevoz i skladištenje</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431</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396</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367</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371</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359</w:t>
            </w:r>
          </w:p>
        </w:tc>
      </w:tr>
      <w:tr w:rsidR="00F85905" w:rsidRPr="006C69B9" w:rsidTr="006C69B9">
        <w:trPr>
          <w:trHeight w:val="279"/>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Djelatnosti pružanja smještaja te priprema i usluživanja hrane ( hotelijerstvo iugostiteljstvo )</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2.026</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2.003</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1.873</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1.988</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2.065</w:t>
            </w:r>
          </w:p>
        </w:tc>
      </w:tr>
      <w:tr w:rsidR="00F85905" w:rsidRPr="006C69B9" w:rsidTr="006C69B9">
        <w:trPr>
          <w:trHeight w:val="228"/>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Informacije i komunikacije</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61</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61</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56</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61</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65</w:t>
            </w:r>
          </w:p>
        </w:tc>
      </w:tr>
      <w:tr w:rsidR="00F85905" w:rsidRPr="006C69B9" w:rsidTr="006C69B9">
        <w:trPr>
          <w:trHeight w:val="302"/>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Finansijske djelatnosti i djelatnosti osiguranja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w:t>
            </w:r>
          </w:p>
        </w:tc>
      </w:tr>
      <w:tr w:rsidR="00F85905" w:rsidRPr="006C69B9" w:rsidTr="006C69B9">
        <w:trPr>
          <w:trHeight w:val="312"/>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Poslovanje nekretninama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19</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18</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16</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16</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15</w:t>
            </w:r>
          </w:p>
        </w:tc>
      </w:tr>
      <w:tr w:rsidR="00F85905" w:rsidRPr="006C69B9" w:rsidTr="006C69B9">
        <w:trPr>
          <w:trHeight w:val="228"/>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Stručne, naučne i tehničke djelatnosti</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339</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334</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328</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341</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343</w:t>
            </w:r>
          </w:p>
        </w:tc>
      </w:tr>
      <w:tr w:rsidR="00F85905" w:rsidRPr="006C69B9" w:rsidTr="006C69B9">
        <w:trPr>
          <w:trHeight w:val="260"/>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Administrativne i pomoćne uslužne djelatnosti</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122</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113</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119</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121</w:t>
            </w:r>
          </w:p>
        </w:tc>
      </w:tr>
      <w:tr w:rsidR="00F85905" w:rsidRPr="006C69B9" w:rsidTr="006C69B9">
        <w:trPr>
          <w:trHeight w:val="137"/>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Javna uprava i odbrana; obavezno socijalno osigur.</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r>
      <w:tr w:rsidR="00F85905" w:rsidRPr="006C69B9" w:rsidTr="006C69B9">
        <w:trPr>
          <w:trHeight w:val="312"/>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Obrazovanje</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45</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44</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54</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50</w:t>
            </w:r>
          </w:p>
        </w:tc>
      </w:tr>
      <w:tr w:rsidR="00F85905" w:rsidRPr="006C69B9" w:rsidTr="006C69B9">
        <w:trPr>
          <w:trHeight w:val="228"/>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Djelatnosti zdravstvene i socijalne zaštite</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78</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67</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67</w:t>
            </w:r>
          </w:p>
        </w:tc>
      </w:tr>
      <w:tr w:rsidR="00F85905" w:rsidRPr="006C69B9" w:rsidTr="006C69B9">
        <w:trPr>
          <w:trHeight w:val="228"/>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Umjetnost, zabava i rekreacija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77</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72</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81</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81</w:t>
            </w:r>
          </w:p>
        </w:tc>
      </w:tr>
      <w:tr w:rsidR="00F85905" w:rsidRPr="006C69B9" w:rsidTr="006C69B9">
        <w:trPr>
          <w:trHeight w:val="228"/>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Ostale uslužne djelatnosti</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510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485</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469</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496</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516</w:t>
            </w:r>
          </w:p>
        </w:tc>
      </w:tr>
      <w:tr w:rsidR="00F85905" w:rsidRPr="006C69B9" w:rsidTr="006C69B9">
        <w:trPr>
          <w:trHeight w:val="566"/>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lastRenderedPageBreak/>
              <w:t>Djelatnosti domaćinstva kao poslodavca; djelatnosti domaćinstva koja proizvode različita dobra i obavljaju različite usluge za vlastite potrebe</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r>
      <w:tr w:rsidR="00F85905" w:rsidRPr="006C69B9" w:rsidTr="006C69B9">
        <w:trPr>
          <w:trHeight w:val="70"/>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Djelatnosti vanteritorijalnih organizacija i organa</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c>
          <w:tcPr>
            <w:tcW w:w="855" w:type="dxa"/>
            <w:gridSpan w:val="2"/>
          </w:tcPr>
          <w:p w:rsidR="006C69B9" w:rsidRPr="006C69B9" w:rsidRDefault="006C69B9" w:rsidP="006C69B9">
            <w:pPr>
              <w:jc w:val="right"/>
              <w:cnfStyle w:val="000000000000"/>
              <w:rPr>
                <w:rFonts w:ascii="Calibri" w:eastAsia="Calibri" w:hAnsi="Calibri" w:cs="Times New Roman"/>
                <w:color w:val="000000"/>
                <w:sz w:val="18"/>
                <w:szCs w:val="18"/>
                <w:lang w:val="bs-Latn-BA"/>
              </w:rPr>
            </w:pPr>
            <w:r w:rsidRPr="006C69B9">
              <w:rPr>
                <w:rFonts w:ascii="Calibri" w:eastAsia="Calibri" w:hAnsi="Calibri" w:cs="Times New Roman"/>
                <w:color w:val="000000"/>
                <w:sz w:val="18"/>
                <w:szCs w:val="18"/>
                <w:lang w:val="bs-Latn-BA"/>
              </w:rPr>
              <w:t>0</w:t>
            </w:r>
          </w:p>
        </w:tc>
      </w:tr>
      <w:tr w:rsidR="00F85905" w:rsidRPr="006C69B9" w:rsidTr="006C69B9">
        <w:trPr>
          <w:cnfStyle w:val="010000000000"/>
          <w:trHeight w:val="240"/>
          <w:jc w:val="center"/>
        </w:trPr>
        <w:tc>
          <w:tcPr>
            <w:cnfStyle w:val="001000000000"/>
            <w:tcW w:w="4503" w:type="dxa"/>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Ukupno</w:t>
            </w:r>
          </w:p>
        </w:tc>
        <w:tc>
          <w:tcPr>
            <w:tcW w:w="855" w:type="dxa"/>
          </w:tcPr>
          <w:p w:rsidR="006C69B9" w:rsidRPr="006C69B9" w:rsidRDefault="006C69B9" w:rsidP="006C69B9">
            <w:pPr>
              <w:jc w:val="right"/>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7.123</w:t>
            </w:r>
          </w:p>
        </w:tc>
        <w:tc>
          <w:tcPr>
            <w:tcW w:w="855" w:type="dxa"/>
          </w:tcPr>
          <w:p w:rsidR="006C69B9" w:rsidRPr="006C69B9" w:rsidRDefault="006C69B9" w:rsidP="006C69B9">
            <w:pPr>
              <w:jc w:val="right"/>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6.818</w:t>
            </w:r>
          </w:p>
        </w:tc>
        <w:tc>
          <w:tcPr>
            <w:tcW w:w="855" w:type="dxa"/>
          </w:tcPr>
          <w:p w:rsidR="006C69B9" w:rsidRPr="006C69B9" w:rsidRDefault="006C69B9" w:rsidP="006C69B9">
            <w:pPr>
              <w:jc w:val="right"/>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6.535</w:t>
            </w:r>
          </w:p>
        </w:tc>
        <w:tc>
          <w:tcPr>
            <w:tcW w:w="855" w:type="dxa"/>
          </w:tcPr>
          <w:p w:rsidR="006C69B9" w:rsidRPr="006C69B9" w:rsidRDefault="006C69B9" w:rsidP="006C69B9">
            <w:pPr>
              <w:jc w:val="right"/>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6.909</w:t>
            </w:r>
          </w:p>
        </w:tc>
        <w:tc>
          <w:tcPr>
            <w:tcW w:w="855" w:type="dxa"/>
            <w:gridSpan w:val="2"/>
          </w:tcPr>
          <w:p w:rsidR="006C69B9" w:rsidRPr="006C69B9" w:rsidRDefault="006C69B9" w:rsidP="006C69B9">
            <w:pPr>
              <w:jc w:val="right"/>
              <w:cnfStyle w:val="01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6.933</w:t>
            </w:r>
          </w:p>
        </w:tc>
      </w:tr>
    </w:tbl>
    <w:p w:rsidR="006C69B9" w:rsidRPr="006C69B9" w:rsidRDefault="006C69B9" w:rsidP="006C69B9">
      <w:pPr>
        <w:spacing w:after="0"/>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Federalni zavod za statistiku</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br/>
        <w:t xml:space="preserve">Najveći broj registrovanih obrtnika u 2019. godini je na području Grada Mostar (3.579), nakon čega slijedi Čitluk sa 836 obrtnika te Konjic sa 753 obrtnika (Tabela 15.).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Većina lokalnih zajednica bilježi rast broja obrtnika iz godine u godinu sa izuzetkom općine Čitluk i općine Prozor koje su zabilježile pad broja obrtnika u posmatranom periodu. Međutim, okvirni pokazatelji iz 2020. godine pokazuju da je u prvih devet mjeseci tekuće godine u Hercegovačko-neretvanskom kantonu sa radom prestalo 145 obrta a kao posljedica krize izazvane pandemijom COVID-19. Obrtnici su najteže pogođeni ovom krizom zbog njihove veličine, ali kako se obrti u Hercegovačko-neretvanskom kantonu uglavnom vežu za turističku djelatnost, taj utjecaj je još i veći. Prema podacima iz Obrtničke komore HNK, zatvoreni obrti su uglavnom suvenirnice, taksi prijevoznici i ugostiteljski lokali.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15</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noProof/>
          <w:color w:val="31849B"/>
          <w:sz w:val="20"/>
        </w:rPr>
        <w:t>.</w:t>
      </w:r>
      <w:r w:rsidRPr="006C69B9">
        <w:rPr>
          <w:rFonts w:ascii="Calibri" w:eastAsia="Calibri" w:hAnsi="Calibri" w:cs="Calibri Light"/>
          <w:bCs/>
          <w:i/>
          <w:color w:val="31849B"/>
          <w:sz w:val="20"/>
        </w:rPr>
        <w:t xml:space="preserve"> Pregled broja obrta prema lokalnim zajednicama Hercegovačko-neretvanskog kantona </w:t>
      </w:r>
      <w:r w:rsidRPr="006C69B9">
        <w:rPr>
          <w:rFonts w:ascii="Calibri" w:eastAsia="Calibri" w:hAnsi="Calibri" w:cs="Calibri Light"/>
          <w:bCs/>
          <w:i/>
          <w:color w:val="31849B"/>
          <w:sz w:val="20"/>
        </w:rPr>
        <w:br/>
        <w:t>u periodu 2016.-2019. godina</w:t>
      </w:r>
    </w:p>
    <w:tbl>
      <w:tblPr>
        <w:tblStyle w:val="MediumGrid3-Accent51"/>
        <w:tblW w:w="8242" w:type="dxa"/>
        <w:jc w:val="center"/>
        <w:tblLayout w:type="fixed"/>
        <w:tblLook w:val="06E0"/>
      </w:tblPr>
      <w:tblGrid>
        <w:gridCol w:w="3529"/>
        <w:gridCol w:w="1236"/>
        <w:gridCol w:w="1159"/>
        <w:gridCol w:w="1159"/>
        <w:gridCol w:w="1159"/>
      </w:tblGrid>
      <w:tr w:rsidR="006C69B9" w:rsidRPr="006C69B9" w:rsidTr="006C69B9">
        <w:trPr>
          <w:cnfStyle w:val="100000000000"/>
          <w:trHeight w:val="280"/>
          <w:jc w:val="center"/>
        </w:trPr>
        <w:tc>
          <w:tcPr>
            <w:cnfStyle w:val="001000000000"/>
            <w:tcW w:w="3529" w:type="dxa"/>
            <w:vMerge w:val="restart"/>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Općina</w:t>
            </w:r>
          </w:p>
        </w:tc>
        <w:tc>
          <w:tcPr>
            <w:tcW w:w="4713" w:type="dxa"/>
            <w:gridSpan w:val="4"/>
            <w:shd w:val="clear" w:color="auto" w:fill="D2EAF1"/>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obrta</w:t>
            </w:r>
          </w:p>
        </w:tc>
      </w:tr>
      <w:tr w:rsidR="00F85905" w:rsidRPr="006C69B9" w:rsidTr="006C69B9">
        <w:trPr>
          <w:trHeight w:val="86"/>
          <w:jc w:val="center"/>
        </w:trPr>
        <w:tc>
          <w:tcPr>
            <w:cnfStyle w:val="001000000000"/>
            <w:tcW w:w="3529"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36" w:type="dxa"/>
            <w:shd w:val="clear" w:color="auto" w:fill="4BACC6"/>
          </w:tcPr>
          <w:p w:rsidR="006C69B9" w:rsidRPr="006C69B9" w:rsidRDefault="006C69B9" w:rsidP="006C69B9">
            <w:pPr>
              <w:jc w:val="center"/>
              <w:cnfStyle w:val="000000000000"/>
              <w:rPr>
                <w:rFonts w:ascii="Calibri" w:eastAsia="Calibri" w:hAnsi="Calibri" w:cs="Times New Roman"/>
                <w:color w:val="FFFFFF"/>
                <w:sz w:val="20"/>
                <w:szCs w:val="20"/>
                <w:lang w:val="bs-Latn-BA"/>
              </w:rPr>
            </w:pPr>
            <w:r w:rsidRPr="006C69B9">
              <w:rPr>
                <w:rFonts w:ascii="Calibri" w:eastAsia="Calibri" w:hAnsi="Calibri" w:cs="Times New Roman"/>
                <w:color w:val="FFFFFF"/>
                <w:sz w:val="20"/>
                <w:szCs w:val="20"/>
                <w:lang w:val="bs-Latn-BA"/>
              </w:rPr>
              <w:t>2016.</w:t>
            </w:r>
          </w:p>
        </w:tc>
        <w:tc>
          <w:tcPr>
            <w:tcW w:w="1159" w:type="dxa"/>
            <w:shd w:val="clear" w:color="auto" w:fill="4BACC6"/>
          </w:tcPr>
          <w:p w:rsidR="006C69B9" w:rsidRPr="006C69B9" w:rsidRDefault="006C69B9" w:rsidP="006C69B9">
            <w:pPr>
              <w:jc w:val="center"/>
              <w:cnfStyle w:val="000000000000"/>
              <w:rPr>
                <w:rFonts w:ascii="Calibri" w:eastAsia="Calibri" w:hAnsi="Calibri" w:cs="Times New Roman"/>
                <w:color w:val="FFFFFF"/>
                <w:sz w:val="20"/>
                <w:szCs w:val="20"/>
                <w:lang w:val="bs-Latn-BA"/>
              </w:rPr>
            </w:pPr>
            <w:r w:rsidRPr="006C69B9">
              <w:rPr>
                <w:rFonts w:ascii="Calibri" w:eastAsia="Calibri" w:hAnsi="Calibri" w:cs="Times New Roman"/>
                <w:color w:val="FFFFFF"/>
                <w:sz w:val="20"/>
                <w:szCs w:val="20"/>
                <w:lang w:val="bs-Latn-BA"/>
              </w:rPr>
              <w:t>2017.</w:t>
            </w:r>
          </w:p>
        </w:tc>
        <w:tc>
          <w:tcPr>
            <w:tcW w:w="1159" w:type="dxa"/>
            <w:shd w:val="clear" w:color="auto" w:fill="4BACC6"/>
          </w:tcPr>
          <w:p w:rsidR="006C69B9" w:rsidRPr="006C69B9" w:rsidRDefault="006C69B9" w:rsidP="006C69B9">
            <w:pPr>
              <w:jc w:val="center"/>
              <w:cnfStyle w:val="000000000000"/>
              <w:rPr>
                <w:rFonts w:ascii="Calibri" w:eastAsia="Calibri" w:hAnsi="Calibri" w:cs="Times New Roman"/>
                <w:color w:val="FFFFFF"/>
                <w:sz w:val="20"/>
                <w:szCs w:val="20"/>
                <w:lang w:val="bs-Latn-BA"/>
              </w:rPr>
            </w:pPr>
            <w:r w:rsidRPr="006C69B9">
              <w:rPr>
                <w:rFonts w:ascii="Calibri" w:eastAsia="Calibri" w:hAnsi="Calibri" w:cs="Times New Roman"/>
                <w:color w:val="FFFFFF"/>
                <w:sz w:val="20"/>
                <w:szCs w:val="20"/>
                <w:lang w:val="bs-Latn-BA"/>
              </w:rPr>
              <w:t>2018.</w:t>
            </w:r>
          </w:p>
        </w:tc>
        <w:tc>
          <w:tcPr>
            <w:tcW w:w="1159" w:type="dxa"/>
            <w:shd w:val="clear" w:color="auto" w:fill="4BACC6"/>
          </w:tcPr>
          <w:p w:rsidR="006C69B9" w:rsidRPr="006C69B9" w:rsidRDefault="006C69B9" w:rsidP="006C69B9">
            <w:pPr>
              <w:jc w:val="center"/>
              <w:cnfStyle w:val="000000000000"/>
              <w:rPr>
                <w:rFonts w:ascii="Calibri" w:eastAsia="Calibri" w:hAnsi="Calibri" w:cs="Times New Roman"/>
                <w:color w:val="FFFFFF"/>
                <w:sz w:val="20"/>
                <w:szCs w:val="20"/>
                <w:lang w:val="bs-Latn-BA"/>
              </w:rPr>
            </w:pPr>
            <w:r w:rsidRPr="006C69B9">
              <w:rPr>
                <w:rFonts w:ascii="Calibri" w:eastAsia="Calibri" w:hAnsi="Calibri" w:cs="Times New Roman"/>
                <w:color w:val="FFFFFF"/>
                <w:sz w:val="20"/>
                <w:szCs w:val="20"/>
                <w:lang w:val="bs-Latn-BA"/>
              </w:rPr>
              <w:t>2019.</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Čapljina</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578</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450</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498</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500</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Čitluk </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873</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832</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817</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836</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Jablanica</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349</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353</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373</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316</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Konjic</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695</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721</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773</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753</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Grad Mostar</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3.422</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3.237</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3.461</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3.579</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Neum</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269</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273</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279</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300</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Prozor</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271</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287</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295</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Arial" w:hAnsi="Calibri" w:cs="Calibri"/>
                <w:color w:val="000000"/>
                <w:sz w:val="18"/>
                <w:szCs w:val="18"/>
                <w:lang w:val="bs-Latn-BA"/>
              </w:rPr>
              <w:t>238</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Stolac </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339</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362</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391</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387</w:t>
            </w:r>
          </w:p>
        </w:tc>
      </w:tr>
      <w:tr w:rsidR="00F85905" w:rsidRPr="006C69B9" w:rsidTr="006C69B9">
        <w:trPr>
          <w:trHeight w:val="280"/>
          <w:jc w:val="center"/>
        </w:trPr>
        <w:tc>
          <w:tcPr>
            <w:cnfStyle w:val="001000000000"/>
            <w:tcW w:w="352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Ravno</w:t>
            </w:r>
          </w:p>
        </w:tc>
        <w:tc>
          <w:tcPr>
            <w:tcW w:w="1236"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22</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20</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22</w:t>
            </w:r>
          </w:p>
        </w:tc>
        <w:tc>
          <w:tcPr>
            <w:tcW w:w="1159" w:type="dxa"/>
          </w:tcPr>
          <w:p w:rsidR="006C69B9" w:rsidRPr="006C69B9" w:rsidRDefault="006C69B9" w:rsidP="006C69B9">
            <w:pPr>
              <w:jc w:val="right"/>
              <w:cnfStyle w:val="000000000000"/>
              <w:rPr>
                <w:rFonts w:ascii="Calibri" w:eastAsia="Arial" w:hAnsi="Calibri" w:cs="Calibri"/>
                <w:color w:val="000000"/>
                <w:sz w:val="18"/>
                <w:szCs w:val="18"/>
                <w:lang w:val="bs-Latn-BA"/>
              </w:rPr>
            </w:pPr>
            <w:r w:rsidRPr="006C69B9">
              <w:rPr>
                <w:rFonts w:ascii="Calibri" w:eastAsia="Calibri" w:hAnsi="Calibri" w:cs="Times New Roman"/>
                <w:lang w:val="bs-Latn-BA"/>
              </w:rPr>
              <w:t>24</w:t>
            </w:r>
          </w:p>
        </w:tc>
      </w:tr>
      <w:tr w:rsidR="00F85905" w:rsidRPr="006C69B9" w:rsidTr="006C69B9">
        <w:trPr>
          <w:cnfStyle w:val="010000000000"/>
          <w:trHeight w:val="467"/>
          <w:jc w:val="center"/>
        </w:trPr>
        <w:tc>
          <w:tcPr>
            <w:cnfStyle w:val="001000000000"/>
            <w:tcW w:w="3529" w:type="dxa"/>
            <w:vAlign w:val="center"/>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HERCEGOVAČKO-NERETVANSKI KANTON</w:t>
            </w:r>
          </w:p>
        </w:tc>
        <w:tc>
          <w:tcPr>
            <w:tcW w:w="1236" w:type="dxa"/>
            <w:vAlign w:val="center"/>
          </w:tcPr>
          <w:p w:rsidR="006C69B9" w:rsidRPr="006C69B9" w:rsidRDefault="006C69B9" w:rsidP="006C69B9">
            <w:pPr>
              <w:jc w:val="center"/>
              <w:cnfStyle w:val="010000000000"/>
              <w:rPr>
                <w:rFonts w:ascii="Arial" w:eastAsia="Arial" w:hAnsi="Arial" w:cs="Arial"/>
                <w:sz w:val="18"/>
                <w:szCs w:val="18"/>
                <w:lang w:val="bs-Latn-BA"/>
              </w:rPr>
            </w:pPr>
            <w:r w:rsidRPr="006C69B9">
              <w:rPr>
                <w:rFonts w:ascii="Arial" w:eastAsia="Arial" w:hAnsi="Arial" w:cs="Arial"/>
                <w:sz w:val="18"/>
                <w:szCs w:val="18"/>
                <w:lang w:val="bs-Latn-BA"/>
              </w:rPr>
              <w:t>6.818</w:t>
            </w:r>
          </w:p>
        </w:tc>
        <w:tc>
          <w:tcPr>
            <w:tcW w:w="1159" w:type="dxa"/>
            <w:vAlign w:val="center"/>
          </w:tcPr>
          <w:p w:rsidR="006C69B9" w:rsidRPr="006C69B9" w:rsidRDefault="006C69B9" w:rsidP="006C69B9">
            <w:pPr>
              <w:jc w:val="center"/>
              <w:cnfStyle w:val="010000000000"/>
              <w:rPr>
                <w:rFonts w:ascii="Arial" w:eastAsia="Arial" w:hAnsi="Arial" w:cs="Arial"/>
                <w:sz w:val="18"/>
                <w:szCs w:val="18"/>
                <w:lang w:val="bs-Latn-BA"/>
              </w:rPr>
            </w:pPr>
            <w:r w:rsidRPr="006C69B9">
              <w:rPr>
                <w:rFonts w:ascii="Arial" w:eastAsia="Arial" w:hAnsi="Arial" w:cs="Arial"/>
                <w:sz w:val="18"/>
                <w:szCs w:val="18"/>
                <w:lang w:val="bs-Latn-BA"/>
              </w:rPr>
              <w:t>6.535</w:t>
            </w:r>
          </w:p>
        </w:tc>
        <w:tc>
          <w:tcPr>
            <w:tcW w:w="1159" w:type="dxa"/>
            <w:vAlign w:val="center"/>
          </w:tcPr>
          <w:p w:rsidR="006C69B9" w:rsidRPr="006C69B9" w:rsidRDefault="006C69B9" w:rsidP="006C69B9">
            <w:pPr>
              <w:jc w:val="center"/>
              <w:cnfStyle w:val="010000000000"/>
              <w:rPr>
                <w:rFonts w:ascii="Arial" w:eastAsia="Arial" w:hAnsi="Arial" w:cs="Arial"/>
                <w:sz w:val="18"/>
                <w:szCs w:val="18"/>
                <w:lang w:val="bs-Latn-BA"/>
              </w:rPr>
            </w:pPr>
            <w:r w:rsidRPr="006C69B9">
              <w:rPr>
                <w:rFonts w:ascii="Arial" w:eastAsia="Arial" w:hAnsi="Arial" w:cs="Arial"/>
                <w:sz w:val="18"/>
                <w:szCs w:val="18"/>
                <w:lang w:val="bs-Latn-BA"/>
              </w:rPr>
              <w:t>6.909</w:t>
            </w:r>
          </w:p>
        </w:tc>
        <w:tc>
          <w:tcPr>
            <w:tcW w:w="1159" w:type="dxa"/>
            <w:vAlign w:val="center"/>
          </w:tcPr>
          <w:p w:rsidR="006C69B9" w:rsidRPr="006C69B9" w:rsidRDefault="006C69B9" w:rsidP="006C69B9">
            <w:pPr>
              <w:jc w:val="center"/>
              <w:cnfStyle w:val="010000000000"/>
              <w:rPr>
                <w:rFonts w:ascii="Arial" w:eastAsia="Arial" w:hAnsi="Arial" w:cs="Arial"/>
                <w:sz w:val="18"/>
                <w:szCs w:val="18"/>
                <w:lang w:val="bs-Latn-BA"/>
              </w:rPr>
            </w:pPr>
            <w:r w:rsidRPr="006C69B9">
              <w:rPr>
                <w:rFonts w:ascii="Arial" w:eastAsia="Arial" w:hAnsi="Arial" w:cs="Arial"/>
                <w:sz w:val="18"/>
                <w:szCs w:val="18"/>
                <w:lang w:val="bs-Latn-BA"/>
              </w:rPr>
              <w:t>6.933</w:t>
            </w:r>
          </w:p>
        </w:tc>
      </w:tr>
    </w:tbl>
    <w:p w:rsidR="006C69B9" w:rsidRPr="006C69B9" w:rsidRDefault="006C69B9" w:rsidP="006C69B9">
      <w:pPr>
        <w:spacing w:after="0"/>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Federalni zavod za statistiku</w:t>
      </w:r>
    </w:p>
    <w:p w:rsidR="006C69B9" w:rsidRPr="006C69B9" w:rsidRDefault="006C69B9" w:rsidP="006C69B9">
      <w:pPr>
        <w:spacing w:after="0"/>
        <w:rPr>
          <w:rFonts w:ascii="Calibri" w:eastAsia="Calibri" w:hAnsi="Calibri" w:cs="Times New Roman"/>
          <w:b/>
          <w:i/>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Jedan od osnovnih razvojnih problema glede razvoja obrtništva na prostoru Hercegovačko-neretvanskog kantona jeste </w:t>
      </w:r>
      <w:r w:rsidRPr="006C69B9">
        <w:rPr>
          <w:rFonts w:ascii="Calibri" w:eastAsia="Calibri" w:hAnsi="Calibri" w:cs="Times New Roman"/>
          <w:b/>
          <w:lang w:val="bs-Latn-BA"/>
        </w:rPr>
        <w:t>nepostojanje Obrtnog centra u Gradu Mostaru</w:t>
      </w:r>
      <w:r w:rsidRPr="006C69B9">
        <w:rPr>
          <w:rFonts w:ascii="Calibri" w:eastAsia="Calibri" w:hAnsi="Calibri" w:cs="Times New Roman"/>
          <w:lang w:val="bs-Latn-BA"/>
        </w:rPr>
        <w:t>, odnosno nedovoljno naglašena važnostinstitucionalne povezanosti između obrazovnih institucija i obrtnika na području kantona/županije. Osnovni cilj obrtnog centra bio bi razvijati obrtništvo kroz edukaciju budućih obrtnika sa fokusom na praktičnu nastavu, potom kvalifikaciju i prekvalifikaciju za rad na strojevima, te kvalifikaciju i prekvalifikaciju za zanatska zanimanja. Kroz moderan obrazovni pristup bilo bi moguće učiniti obrtništvo atraktivnijim izborom za nove naraštaje, te pribiližiti značaj obrta kao potencijalnog obiteljskog biznisa te rješavanje radnog statusa kako za sebe tako i za cijelu obitelj. Pored toga, kroz Obrtni centar bi se uspjeli sačuvati stari tradicionalni zanati što bi dalo izrazitu kulturološku vrijednost te poduprlo razvoj turizma na području HNK. Uspostava obrtnog centra dala bi snažniji zamah razvoju obrtništva na području županije a samim time i aktivno doprinijela ekonomskom razvoju i umanjenju stope nezaposlenosti stanovništva.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Na osnovu podataka iz TRON baze, ukupan broj preduzeća (privrednih društava) na području Hercegovačko-neretvanskog kantona koji su predali završni finansijski izvještaj za 2019. godinu iznosi 2.637 i manji je za 131 (4,7%) u odnosu na prethodnu godinu, kada je taj broj iznosio 2.768, i kada je zabilježen rast od 273 preduzeća u odnosu na 2017. godinu. U ukupnom broju preduzeća na </w:t>
      </w:r>
      <w:r w:rsidRPr="006C69B9">
        <w:rPr>
          <w:rFonts w:ascii="Calibri" w:eastAsia="Calibri" w:hAnsi="Calibri" w:cs="Times New Roman"/>
          <w:lang w:val="bs-Latn-BA"/>
        </w:rPr>
        <w:lastRenderedPageBreak/>
        <w:t>području FBiH, Hercegovačko-neretvanski kanton učestvuje sa 11,4%. Sličan trend u kontekstu broja preduzeća bilježi se i na nivou  Federacije BiH u kojoj je u 2019. godini zabilježen rad ukupno 23.120 preduzeća ali i pad od 1.851 u odnosu na prethodnu godinu (Tabela 16.)</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16</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Broj preduzeća na području Hercegovačko-neretvanskog kantona i Federacije BiH</w:t>
      </w:r>
      <w:r w:rsidRPr="006C69B9">
        <w:rPr>
          <w:rFonts w:ascii="Calibri" w:eastAsia="Calibri" w:hAnsi="Calibri" w:cs="Calibri Light"/>
          <w:bCs/>
          <w:i/>
          <w:color w:val="31849B"/>
          <w:sz w:val="20"/>
        </w:rPr>
        <w:br/>
        <w:t xml:space="preserve"> u periodu 2017.-2019. godina</w:t>
      </w:r>
    </w:p>
    <w:tbl>
      <w:tblPr>
        <w:tblStyle w:val="MediumGrid3-Accent51"/>
        <w:tblW w:w="9208" w:type="dxa"/>
        <w:jc w:val="center"/>
        <w:tblLayout w:type="fixed"/>
        <w:tblLook w:val="06A0"/>
      </w:tblPr>
      <w:tblGrid>
        <w:gridCol w:w="1690"/>
        <w:gridCol w:w="1253"/>
        <w:gridCol w:w="1253"/>
        <w:gridCol w:w="1298"/>
        <w:gridCol w:w="1208"/>
        <w:gridCol w:w="1253"/>
        <w:gridCol w:w="1253"/>
      </w:tblGrid>
      <w:tr w:rsidR="00F85905" w:rsidRPr="006C69B9" w:rsidTr="006C69B9">
        <w:trPr>
          <w:cnfStyle w:val="100000000000"/>
          <w:trHeight w:val="300"/>
          <w:jc w:val="center"/>
        </w:trPr>
        <w:tc>
          <w:tcPr>
            <w:cnfStyle w:val="001000000000"/>
            <w:tcW w:w="1691" w:type="dxa"/>
            <w:vMerge w:val="restart"/>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w:t>
            </w:r>
          </w:p>
        </w:tc>
        <w:tc>
          <w:tcPr>
            <w:tcW w:w="3804" w:type="dxa"/>
            <w:gridSpan w:val="3"/>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preduzeća</w:t>
            </w:r>
          </w:p>
        </w:tc>
        <w:tc>
          <w:tcPr>
            <w:tcW w:w="3714" w:type="dxa"/>
            <w:gridSpan w:val="3"/>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zaposlenih</w:t>
            </w:r>
          </w:p>
        </w:tc>
      </w:tr>
      <w:tr w:rsidR="00F85905" w:rsidRPr="006C69B9" w:rsidTr="006C69B9">
        <w:trPr>
          <w:trHeight w:val="300"/>
          <w:jc w:val="center"/>
        </w:trPr>
        <w:tc>
          <w:tcPr>
            <w:cnfStyle w:val="001000000000"/>
            <w:tcW w:w="1691"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53" w:type="dxa"/>
            <w:shd w:val="clear" w:color="auto" w:fill="4BACC6"/>
          </w:tcPr>
          <w:p w:rsidR="006C69B9" w:rsidRPr="006C69B9" w:rsidRDefault="006C69B9" w:rsidP="006C69B9">
            <w:pPr>
              <w:jc w:val="center"/>
              <w:cnfStyle w:val="000000000000"/>
              <w:rPr>
                <w:rFonts w:ascii="Calibri" w:eastAsia="Calibri" w:hAnsi="Calibri" w:cs="Times New Roman"/>
                <w:b/>
                <w:color w:val="FFFFFF"/>
                <w:sz w:val="20"/>
                <w:szCs w:val="20"/>
                <w:lang w:val="bs-Latn-BA"/>
              </w:rPr>
            </w:pPr>
            <w:r w:rsidRPr="006C69B9">
              <w:rPr>
                <w:rFonts w:ascii="Calibri" w:eastAsia="Calibri" w:hAnsi="Calibri" w:cs="Times New Roman"/>
                <w:b/>
                <w:color w:val="FFFFFF"/>
                <w:sz w:val="20"/>
                <w:szCs w:val="20"/>
                <w:lang w:val="bs-Latn-BA"/>
              </w:rPr>
              <w:t>2017.</w:t>
            </w:r>
          </w:p>
        </w:tc>
        <w:tc>
          <w:tcPr>
            <w:tcW w:w="1253" w:type="dxa"/>
            <w:shd w:val="clear" w:color="auto" w:fill="4BACC6"/>
          </w:tcPr>
          <w:p w:rsidR="006C69B9" w:rsidRPr="006C69B9" w:rsidRDefault="006C69B9" w:rsidP="006C69B9">
            <w:pPr>
              <w:jc w:val="center"/>
              <w:cnfStyle w:val="000000000000"/>
              <w:rPr>
                <w:rFonts w:ascii="Calibri" w:eastAsia="Calibri" w:hAnsi="Calibri" w:cs="Times New Roman"/>
                <w:b/>
                <w:color w:val="FFFFFF"/>
                <w:sz w:val="20"/>
                <w:szCs w:val="20"/>
                <w:lang w:val="bs-Latn-BA"/>
              </w:rPr>
            </w:pPr>
            <w:r w:rsidRPr="006C69B9">
              <w:rPr>
                <w:rFonts w:ascii="Calibri" w:eastAsia="Calibri" w:hAnsi="Calibri" w:cs="Times New Roman"/>
                <w:b/>
                <w:color w:val="FFFFFF"/>
                <w:sz w:val="20"/>
                <w:szCs w:val="20"/>
                <w:lang w:val="bs-Latn-BA"/>
              </w:rPr>
              <w:t>2018.</w:t>
            </w:r>
          </w:p>
        </w:tc>
        <w:tc>
          <w:tcPr>
            <w:tcW w:w="129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20"/>
                <w:szCs w:val="20"/>
                <w:lang w:val="bs-Latn-BA"/>
              </w:rPr>
            </w:pPr>
            <w:r w:rsidRPr="006C69B9">
              <w:rPr>
                <w:rFonts w:ascii="Calibri" w:eastAsia="Calibri" w:hAnsi="Calibri" w:cs="Times New Roman"/>
                <w:b/>
                <w:color w:val="FFFFFF"/>
                <w:sz w:val="20"/>
                <w:szCs w:val="20"/>
                <w:lang w:val="bs-Latn-BA"/>
              </w:rPr>
              <w:t>2019.</w:t>
            </w:r>
          </w:p>
        </w:tc>
        <w:tc>
          <w:tcPr>
            <w:tcW w:w="1208" w:type="dxa"/>
            <w:shd w:val="clear" w:color="auto" w:fill="4BACC6"/>
          </w:tcPr>
          <w:p w:rsidR="006C69B9" w:rsidRPr="006C69B9" w:rsidRDefault="006C69B9" w:rsidP="006C69B9">
            <w:pPr>
              <w:jc w:val="center"/>
              <w:cnfStyle w:val="000000000000"/>
              <w:rPr>
                <w:rFonts w:ascii="Calibri" w:eastAsia="Calibri" w:hAnsi="Calibri" w:cs="Times New Roman"/>
                <w:b/>
                <w:color w:val="FFFFFF"/>
                <w:sz w:val="20"/>
                <w:szCs w:val="20"/>
                <w:lang w:val="bs-Latn-BA"/>
              </w:rPr>
            </w:pPr>
            <w:r w:rsidRPr="006C69B9">
              <w:rPr>
                <w:rFonts w:ascii="Calibri" w:eastAsia="Calibri" w:hAnsi="Calibri" w:cs="Times New Roman"/>
                <w:b/>
                <w:color w:val="FFFFFF"/>
                <w:sz w:val="20"/>
                <w:szCs w:val="20"/>
                <w:lang w:val="bs-Latn-BA"/>
              </w:rPr>
              <w:t>2017.</w:t>
            </w:r>
          </w:p>
        </w:tc>
        <w:tc>
          <w:tcPr>
            <w:tcW w:w="1253" w:type="dxa"/>
            <w:shd w:val="clear" w:color="auto" w:fill="4BACC6"/>
          </w:tcPr>
          <w:p w:rsidR="006C69B9" w:rsidRPr="006C69B9" w:rsidRDefault="006C69B9" w:rsidP="006C69B9">
            <w:pPr>
              <w:jc w:val="center"/>
              <w:cnfStyle w:val="000000000000"/>
              <w:rPr>
                <w:rFonts w:ascii="Calibri" w:eastAsia="Calibri" w:hAnsi="Calibri" w:cs="Times New Roman"/>
                <w:b/>
                <w:color w:val="FFFFFF"/>
                <w:sz w:val="20"/>
                <w:szCs w:val="20"/>
                <w:lang w:val="bs-Latn-BA"/>
              </w:rPr>
            </w:pPr>
            <w:r w:rsidRPr="006C69B9">
              <w:rPr>
                <w:rFonts w:ascii="Calibri" w:eastAsia="Calibri" w:hAnsi="Calibri" w:cs="Times New Roman"/>
                <w:b/>
                <w:color w:val="FFFFFF"/>
                <w:sz w:val="20"/>
                <w:szCs w:val="20"/>
                <w:lang w:val="bs-Latn-BA"/>
              </w:rPr>
              <w:t>2018.</w:t>
            </w:r>
          </w:p>
        </w:tc>
        <w:tc>
          <w:tcPr>
            <w:tcW w:w="1253" w:type="dxa"/>
            <w:shd w:val="clear" w:color="auto" w:fill="4BACC6"/>
          </w:tcPr>
          <w:p w:rsidR="006C69B9" w:rsidRPr="006C69B9" w:rsidRDefault="006C69B9" w:rsidP="006C69B9">
            <w:pPr>
              <w:jc w:val="center"/>
              <w:cnfStyle w:val="000000000000"/>
              <w:rPr>
                <w:rFonts w:ascii="Calibri" w:eastAsia="Calibri" w:hAnsi="Calibri" w:cs="Times New Roman"/>
                <w:b/>
                <w:color w:val="FFFFFF"/>
                <w:sz w:val="20"/>
                <w:szCs w:val="20"/>
                <w:lang w:val="bs-Latn-BA"/>
              </w:rPr>
            </w:pPr>
            <w:r w:rsidRPr="006C69B9">
              <w:rPr>
                <w:rFonts w:ascii="Calibri" w:eastAsia="Calibri" w:hAnsi="Calibri" w:cs="Times New Roman"/>
                <w:b/>
                <w:color w:val="FFFFFF"/>
                <w:sz w:val="20"/>
                <w:szCs w:val="20"/>
                <w:lang w:val="bs-Latn-BA"/>
              </w:rPr>
              <w:t>2019.</w:t>
            </w:r>
          </w:p>
        </w:tc>
      </w:tr>
      <w:tr w:rsidR="00F85905" w:rsidRPr="006C69B9" w:rsidTr="006C69B9">
        <w:trPr>
          <w:trHeight w:val="300"/>
          <w:jc w:val="center"/>
        </w:trPr>
        <w:tc>
          <w:tcPr>
            <w:cnfStyle w:val="001000000000"/>
            <w:tcW w:w="1691"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HNK</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2.495</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2.768</w:t>
            </w:r>
          </w:p>
        </w:tc>
        <w:tc>
          <w:tcPr>
            <w:tcW w:w="129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2.637</w:t>
            </w:r>
          </w:p>
        </w:tc>
        <w:tc>
          <w:tcPr>
            <w:tcW w:w="120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33.857</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35.253</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35.954</w:t>
            </w:r>
          </w:p>
        </w:tc>
      </w:tr>
      <w:tr w:rsidR="00F85905" w:rsidRPr="006C69B9" w:rsidTr="006C69B9">
        <w:trPr>
          <w:trHeight w:val="300"/>
          <w:jc w:val="center"/>
        </w:trPr>
        <w:tc>
          <w:tcPr>
            <w:cnfStyle w:val="001000000000"/>
            <w:tcW w:w="1691"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FBiH</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22.314</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24.971</w:t>
            </w:r>
          </w:p>
        </w:tc>
        <w:tc>
          <w:tcPr>
            <w:tcW w:w="129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23.120</w:t>
            </w:r>
          </w:p>
        </w:tc>
        <w:tc>
          <w:tcPr>
            <w:tcW w:w="120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344.120</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356.226</w:t>
            </w:r>
          </w:p>
        </w:tc>
        <w:tc>
          <w:tcPr>
            <w:tcW w:w="12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365.563</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 dostupni podaci za period 2017.-2019. godina</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U 2.637 preduzeća na području Hercegovačko-neretvanskog kantona u 2019. godini zaposleno je ukupno 35.954 osoba što čini 65,1% od ukupnog broja zaposlenih na području ovog Kantona. Naime, prema posljednjim dostupnim informacijama, prosječan broj zaposlenih na području Hercegovačko-neretvanskog kantona u 2019. godini iznosio je 55.213. Iako je zabilježen pad broja preduzeća u 2019. u odnosu na 2018. godinu, broj zaposlenih u istim se povećao za 701, čime je nastavljen rast broja zaposlenih u ovim privrednim subjektima zabilježen od 2017. godine. S druge strane, radi se o malim preduzećima, odnosno preduzećima koje u prosjeku zapošljavaju 9 zaposlenih. Trend rasta broja zaposlenih u preduzećima na području Hercegovačko-neretvanskog kantona prati trend zabilježen na nivou Federacije BiH (Tabela 16.).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Uz rast broja zaposlenih bilježi se i pozitivan trend rasta ukupno ostvarene dobiti preduzeća u HNK, koji su sa 258.133.944 KM u 2017. godini povećali se na 320.083.420 KM u 2019. godini, što čini 12,88% ukupno ostvarenih prihoda preduzeća Federacije BiH. Pokazatelji prihoda od prodaje i prihoda od izvoza bilježe promjenljiv trend, odnosno nakon rasta u 2018. u odnosu na 2017. godini, oba pokazatelja bilježe pad u 2019. godini. Ukupan prihod od izvoza 2.637 preduzeća na području HNK u 2019. godini iznosi 808.554.571 KM i čini 15,05% ukupno ostvarenih prihoda od prodaje (Tabela 18.). Najveći izvoznici sa područja HNK su preduzeća Aliminij d.d. Mostar, Igman d.d. Konjic i Zinkteknik Bosnia d.o.o. Mostar. U pogledu udjela prihoda od prodaje, izvoza i dobiti, isti je približan udjelu broja preduzeća sa područja Hercegovačko-neretvanskog kantona u ukupnom broju preduzeća Federacije BiH  (Tabela 17.).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17</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Kretanje ukupnih prihoda od prodaje, prihoda od izvoza i ukupne dobiti preduzeća u Hercegovačko-neretvanskom kantonu i FBiH u periodu 2017.-2019. godina</w:t>
      </w:r>
    </w:p>
    <w:tbl>
      <w:tblPr>
        <w:tblStyle w:val="MediumGrid3-Accent51"/>
        <w:tblW w:w="9000" w:type="dxa"/>
        <w:jc w:val="center"/>
        <w:tblLayout w:type="fixed"/>
        <w:tblLook w:val="06A0"/>
      </w:tblPr>
      <w:tblGrid>
        <w:gridCol w:w="2093"/>
        <w:gridCol w:w="1278"/>
        <w:gridCol w:w="1846"/>
        <w:gridCol w:w="1918"/>
        <w:gridCol w:w="1865"/>
      </w:tblGrid>
      <w:tr w:rsidR="00F85905" w:rsidRPr="006C69B9" w:rsidTr="006C69B9">
        <w:trPr>
          <w:cnfStyle w:val="100000000000"/>
          <w:jc w:val="center"/>
        </w:trPr>
        <w:tc>
          <w:tcPr>
            <w:cnfStyle w:val="001000000000"/>
            <w:tcW w:w="2093"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Pokazatelj</w:t>
            </w:r>
          </w:p>
        </w:tc>
        <w:tc>
          <w:tcPr>
            <w:tcW w:w="1278"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Godina</w:t>
            </w:r>
          </w:p>
        </w:tc>
        <w:tc>
          <w:tcPr>
            <w:tcW w:w="184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Hercegovačko-neretvanski kanton</w:t>
            </w:r>
          </w:p>
        </w:tc>
        <w:tc>
          <w:tcPr>
            <w:tcW w:w="1918"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Federacija BiH</w:t>
            </w:r>
          </w:p>
        </w:tc>
        <w:tc>
          <w:tcPr>
            <w:tcW w:w="1865"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Udio </w:t>
            </w:r>
            <w:r w:rsidRPr="006C69B9">
              <w:rPr>
                <w:rFonts w:ascii="Calibri" w:eastAsia="Calibri" w:hAnsi="Calibri" w:cs="Times New Roman"/>
                <w:sz w:val="20"/>
                <w:szCs w:val="20"/>
                <w:lang w:val="bs-Latn-BA"/>
              </w:rPr>
              <w:br/>
              <w:t>HNK/FBiH (%)</w:t>
            </w:r>
          </w:p>
        </w:tc>
      </w:tr>
      <w:tr w:rsidR="00F85905" w:rsidRPr="006C69B9" w:rsidTr="006C69B9">
        <w:trPr>
          <w:trHeight w:val="121"/>
          <w:jc w:val="center"/>
        </w:trPr>
        <w:tc>
          <w:tcPr>
            <w:cnfStyle w:val="001000000000"/>
            <w:tcW w:w="2093" w:type="dxa"/>
            <w:vMerge w:val="restart"/>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prihod od prodaje (u KM)</w:t>
            </w:r>
          </w:p>
        </w:tc>
        <w:tc>
          <w:tcPr>
            <w:tcW w:w="1278"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846"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5.458.054.586</w:t>
            </w:r>
          </w:p>
        </w:tc>
        <w:tc>
          <w:tcPr>
            <w:tcW w:w="191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46.283.970.487</w:t>
            </w:r>
          </w:p>
        </w:tc>
        <w:tc>
          <w:tcPr>
            <w:tcW w:w="186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11,79</w:t>
            </w:r>
          </w:p>
        </w:tc>
      </w:tr>
      <w:tr w:rsidR="00F85905" w:rsidRPr="006C69B9" w:rsidTr="006C69B9">
        <w:trPr>
          <w:jc w:val="center"/>
        </w:trPr>
        <w:tc>
          <w:tcPr>
            <w:cnfStyle w:val="001000000000"/>
            <w:tcW w:w="2093"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78"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846"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5.490.042.427</w:t>
            </w:r>
          </w:p>
        </w:tc>
        <w:tc>
          <w:tcPr>
            <w:tcW w:w="191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48.331.506.051</w:t>
            </w:r>
          </w:p>
        </w:tc>
        <w:tc>
          <w:tcPr>
            <w:tcW w:w="186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11,36</w:t>
            </w:r>
          </w:p>
        </w:tc>
      </w:tr>
      <w:tr w:rsidR="00F85905" w:rsidRPr="006C69B9" w:rsidTr="006C69B9">
        <w:trPr>
          <w:jc w:val="center"/>
        </w:trPr>
        <w:tc>
          <w:tcPr>
            <w:cnfStyle w:val="001000000000"/>
            <w:tcW w:w="2093"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78"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c>
          <w:tcPr>
            <w:tcW w:w="1846"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5.370.481.443</w:t>
            </w:r>
          </w:p>
        </w:tc>
        <w:tc>
          <w:tcPr>
            <w:tcW w:w="191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50.060.210.175</w:t>
            </w:r>
          </w:p>
        </w:tc>
        <w:tc>
          <w:tcPr>
            <w:tcW w:w="186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10,73</w:t>
            </w:r>
          </w:p>
        </w:tc>
      </w:tr>
      <w:tr w:rsidR="00F85905" w:rsidRPr="006C69B9" w:rsidTr="006C69B9">
        <w:trPr>
          <w:jc w:val="center"/>
        </w:trPr>
        <w:tc>
          <w:tcPr>
            <w:cnfStyle w:val="001000000000"/>
            <w:tcW w:w="2093" w:type="dxa"/>
            <w:vMerge w:val="restart"/>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prihod od izvoza (u KM)</w:t>
            </w:r>
          </w:p>
        </w:tc>
        <w:tc>
          <w:tcPr>
            <w:tcW w:w="1278" w:type="dxa"/>
            <w:shd w:val="clear" w:color="auto" w:fill="92CDDC"/>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846" w:type="dxa"/>
            <w:shd w:val="clear" w:color="auto" w:fill="92CDDC"/>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857.171.357</w:t>
            </w:r>
          </w:p>
        </w:tc>
        <w:tc>
          <w:tcPr>
            <w:tcW w:w="1918" w:type="dxa"/>
            <w:shd w:val="clear" w:color="auto" w:fill="92CDDC"/>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7.253.043.095</w:t>
            </w:r>
          </w:p>
        </w:tc>
        <w:tc>
          <w:tcPr>
            <w:tcW w:w="1865" w:type="dxa"/>
            <w:shd w:val="clear" w:color="auto" w:fill="92CDDC"/>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11,82</w:t>
            </w:r>
          </w:p>
        </w:tc>
      </w:tr>
      <w:tr w:rsidR="00F85905" w:rsidRPr="006C69B9" w:rsidTr="006C69B9">
        <w:trPr>
          <w:jc w:val="center"/>
        </w:trPr>
        <w:tc>
          <w:tcPr>
            <w:cnfStyle w:val="001000000000"/>
            <w:tcW w:w="2093"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78" w:type="dxa"/>
            <w:shd w:val="clear" w:color="auto" w:fill="92CDDC"/>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846" w:type="dxa"/>
            <w:shd w:val="clear" w:color="auto" w:fill="92CDDC"/>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961.052.251</w:t>
            </w:r>
          </w:p>
        </w:tc>
        <w:tc>
          <w:tcPr>
            <w:tcW w:w="1918" w:type="dxa"/>
            <w:shd w:val="clear" w:color="auto" w:fill="92CDDC"/>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7.868.359.376</w:t>
            </w:r>
          </w:p>
        </w:tc>
        <w:tc>
          <w:tcPr>
            <w:tcW w:w="1865" w:type="dxa"/>
            <w:shd w:val="clear" w:color="auto" w:fill="92CDDC"/>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12,21</w:t>
            </w:r>
          </w:p>
        </w:tc>
      </w:tr>
      <w:tr w:rsidR="00F85905" w:rsidRPr="006C69B9" w:rsidTr="006C69B9">
        <w:trPr>
          <w:jc w:val="center"/>
        </w:trPr>
        <w:tc>
          <w:tcPr>
            <w:cnfStyle w:val="001000000000"/>
            <w:tcW w:w="2093"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78" w:type="dxa"/>
            <w:shd w:val="clear" w:color="auto" w:fill="92CDDC"/>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c>
          <w:tcPr>
            <w:tcW w:w="1846" w:type="dxa"/>
            <w:shd w:val="clear" w:color="auto" w:fill="92CDDC"/>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808.554.571</w:t>
            </w:r>
          </w:p>
        </w:tc>
        <w:tc>
          <w:tcPr>
            <w:tcW w:w="1918" w:type="dxa"/>
            <w:shd w:val="clear" w:color="auto" w:fill="92CDDC"/>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7.623.491.189</w:t>
            </w:r>
          </w:p>
        </w:tc>
        <w:tc>
          <w:tcPr>
            <w:tcW w:w="1865" w:type="dxa"/>
            <w:shd w:val="clear" w:color="auto" w:fill="92CDDC"/>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10,61</w:t>
            </w:r>
          </w:p>
        </w:tc>
      </w:tr>
      <w:tr w:rsidR="00F85905" w:rsidRPr="006C69B9" w:rsidTr="006C69B9">
        <w:trPr>
          <w:jc w:val="center"/>
        </w:trPr>
        <w:tc>
          <w:tcPr>
            <w:cnfStyle w:val="001000000000"/>
            <w:tcW w:w="2093" w:type="dxa"/>
            <w:vMerge w:val="restart"/>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Ukupna dobit (u KM)</w:t>
            </w:r>
          </w:p>
        </w:tc>
        <w:tc>
          <w:tcPr>
            <w:tcW w:w="1278"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846"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258.133.944</w:t>
            </w:r>
          </w:p>
        </w:tc>
        <w:tc>
          <w:tcPr>
            <w:tcW w:w="191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2.034.064.424</w:t>
            </w:r>
          </w:p>
        </w:tc>
        <w:tc>
          <w:tcPr>
            <w:tcW w:w="186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12,69</w:t>
            </w:r>
          </w:p>
        </w:tc>
      </w:tr>
      <w:tr w:rsidR="00F85905" w:rsidRPr="006C69B9" w:rsidTr="006C69B9">
        <w:trPr>
          <w:jc w:val="center"/>
        </w:trPr>
        <w:tc>
          <w:tcPr>
            <w:cnfStyle w:val="001000000000"/>
            <w:tcW w:w="2093"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78"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846"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271.393.067</w:t>
            </w:r>
          </w:p>
        </w:tc>
        <w:tc>
          <w:tcPr>
            <w:tcW w:w="191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1.956.598.854</w:t>
            </w:r>
          </w:p>
        </w:tc>
        <w:tc>
          <w:tcPr>
            <w:tcW w:w="186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13,87</w:t>
            </w:r>
          </w:p>
        </w:tc>
      </w:tr>
      <w:tr w:rsidR="00F85905" w:rsidRPr="006C69B9" w:rsidTr="006C69B9">
        <w:trPr>
          <w:trHeight w:val="327"/>
          <w:jc w:val="center"/>
        </w:trPr>
        <w:tc>
          <w:tcPr>
            <w:cnfStyle w:val="001000000000"/>
            <w:tcW w:w="2093" w:type="dxa"/>
            <w:vMerge/>
          </w:tcPr>
          <w:p w:rsidR="006C69B9" w:rsidRPr="006C69B9" w:rsidRDefault="006C69B9" w:rsidP="006C69B9">
            <w:pPr>
              <w:widowControl w:val="0"/>
              <w:pBdr>
                <w:top w:val="nil"/>
                <w:left w:val="nil"/>
                <w:bottom w:val="nil"/>
                <w:right w:val="nil"/>
                <w:between w:val="nil"/>
              </w:pBdr>
              <w:spacing w:line="276" w:lineRule="auto"/>
              <w:rPr>
                <w:rFonts w:ascii="Calibri" w:eastAsia="Calibri" w:hAnsi="Calibri" w:cs="Times New Roman"/>
                <w:sz w:val="20"/>
                <w:szCs w:val="20"/>
                <w:lang w:val="bs-Latn-BA"/>
              </w:rPr>
            </w:pPr>
          </w:p>
        </w:tc>
        <w:tc>
          <w:tcPr>
            <w:tcW w:w="1278"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c>
          <w:tcPr>
            <w:tcW w:w="1846"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320.083.420</w:t>
            </w:r>
          </w:p>
        </w:tc>
        <w:tc>
          <w:tcPr>
            <w:tcW w:w="1918"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2.485.119.098</w:t>
            </w:r>
          </w:p>
        </w:tc>
        <w:tc>
          <w:tcPr>
            <w:tcW w:w="186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12,88</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w:t>
      </w:r>
    </w:p>
    <w:p w:rsidR="006C69B9" w:rsidRPr="006C69B9" w:rsidRDefault="006C69B9" w:rsidP="006C69B9">
      <w:pPr>
        <w:spacing w:after="0"/>
        <w:jc w:val="both"/>
        <w:rPr>
          <w:rFonts w:ascii="Calibri" w:eastAsia="Calibri" w:hAnsi="Calibri" w:cs="Times New Roman"/>
          <w:b/>
          <w:i/>
          <w:sz w:val="16"/>
          <w:szCs w:val="16"/>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Ukoliko se posmatra sektorska struktura preduzeća, u pogledu broja preduzeća i pokazatelja njihove uspješnosti najpropulzivnije djelatnosti na području Hercegovačko-neretvanskog kantona su Trgovina, Prerađivačka industrija i Proizvodnja i snabdijevanje električnom energijom, plinom, parom </w:t>
      </w:r>
      <w:r w:rsidRPr="006C69B9">
        <w:rPr>
          <w:rFonts w:ascii="Calibri" w:eastAsia="Calibri" w:hAnsi="Calibri" w:cs="Times New Roman"/>
          <w:lang w:val="bs-Latn-BA"/>
        </w:rPr>
        <w:lastRenderedPageBreak/>
        <w:t xml:space="preserve">i klimatizacija. U Tabeli 18.  dat je pregled pokazatelja uspješnosti preduzeća na području Hercegovačko-neretvanskog kantona u 2019. godini prema sektorskoj strukturi.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18</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Pregled pokazatelja uspješnosti preduzeća na području Hercegovačko-neretvanskog kantona u 2019. godini</w:t>
      </w:r>
    </w:p>
    <w:tbl>
      <w:tblPr>
        <w:tblStyle w:val="MediumGrid3-Accent51"/>
        <w:tblW w:w="9137" w:type="dxa"/>
        <w:tblLayout w:type="fixed"/>
        <w:tblLook w:val="06E0"/>
      </w:tblPr>
      <w:tblGrid>
        <w:gridCol w:w="2642"/>
        <w:gridCol w:w="1073"/>
        <w:gridCol w:w="1283"/>
        <w:gridCol w:w="1453"/>
        <w:gridCol w:w="1390"/>
        <w:gridCol w:w="1296"/>
      </w:tblGrid>
      <w:tr w:rsidR="00F85905" w:rsidRPr="006C69B9" w:rsidTr="006C69B9">
        <w:trPr>
          <w:cnfStyle w:val="100000000000"/>
        </w:trPr>
        <w:tc>
          <w:tcPr>
            <w:cnfStyle w:val="001000000000"/>
            <w:tcW w:w="2642"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Djelatnost</w:t>
            </w:r>
          </w:p>
        </w:tc>
        <w:tc>
          <w:tcPr>
            <w:tcW w:w="107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preduzeća</w:t>
            </w:r>
          </w:p>
        </w:tc>
        <w:tc>
          <w:tcPr>
            <w:tcW w:w="128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zaposlenih</w:t>
            </w:r>
          </w:p>
        </w:tc>
        <w:tc>
          <w:tcPr>
            <w:tcW w:w="145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prihod od prodaje</w:t>
            </w:r>
          </w:p>
        </w:tc>
        <w:tc>
          <w:tcPr>
            <w:tcW w:w="1390"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Prihod od izvoza</w:t>
            </w:r>
          </w:p>
        </w:tc>
        <w:tc>
          <w:tcPr>
            <w:tcW w:w="129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Ukupna dobit (u KM)</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Poljoprivreda, šumarstvo i ribolov</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86</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613</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32.132.763</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7.169.333</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1.698.903</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Vađenje ruda i kamena</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152</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9.760.536</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369.891</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201.230</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Prerađivačka industrija</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415</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7.312</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1.146.652.499</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573.291.502</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-32.373.775</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Proizvodnja i snabdijevanje el. energijom, parom..</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2.277</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604.372.970</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48.129.379</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3.974.342</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Snabdijevanje  vodom;  uklanjanje  otpad voda</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28</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887</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63.443.429</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10.936.873</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1.236.479</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Građevinarstvo</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212</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3.090</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441.812.906</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4.136.383</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148.553.017</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Trgovina</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815</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7.126</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2.079.542.925</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62.680.250</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103.438.892</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Prijevoz i skladištenje</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147</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2.434</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191.751.198</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29.207.909</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5.560.639</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Hotelijerstvoo i ugostirte.</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164</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1.420</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74.298.938</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10.496.190</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3.752.236</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Informacije i komunikacije </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116</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2.213</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270.857.158</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46.805.697</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12.389.725</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Finansijske djelatnosti i djelatnosti osiguranja </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87</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3.426.274</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47.417</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321.870</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Poslovanje nekretninama </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162</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19.595.368</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6.995.564</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Stručne, naučne i tehničke djelatnosti  </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240</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1.062</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60.288.886</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5.999.202</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8.764.290</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Administrativne i pomoćne uslužne djelatnosti </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116</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868</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41.969.145</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5.612.509</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7.080.748</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Javna uprava i odbrana</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415.252</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84.129</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Obrazovanje</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271</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8.590.528</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8.510</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865.041</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Zdravstvo i socijalni rad</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40</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4.359</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191.861.021</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11.640</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-8.457.104</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Umjetnost, zabava i rekreacija</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1.453</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122.982.732</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3.488.150</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55.915.501</w:t>
            </w:r>
          </w:p>
        </w:tc>
      </w:tr>
      <w:tr w:rsidR="00F85905" w:rsidRPr="006C69B9" w:rsidTr="006C69B9">
        <w:tc>
          <w:tcPr>
            <w:cnfStyle w:val="001000000000"/>
            <w:tcW w:w="2642"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Ostale društvene, socijalne i osobne uslužne aktivnosti</w:t>
            </w:r>
          </w:p>
        </w:tc>
        <w:tc>
          <w:tcPr>
            <w:tcW w:w="107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44</w:t>
            </w:r>
          </w:p>
        </w:tc>
        <w:tc>
          <w:tcPr>
            <w:tcW w:w="1283" w:type="dxa"/>
            <w:vAlign w:val="center"/>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160</w:t>
            </w:r>
          </w:p>
        </w:tc>
        <w:tc>
          <w:tcPr>
            <w:tcW w:w="1453"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6.726.915</w:t>
            </w:r>
          </w:p>
        </w:tc>
        <w:tc>
          <w:tcPr>
            <w:tcW w:w="1390"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163.736</w:t>
            </w:r>
          </w:p>
        </w:tc>
        <w:tc>
          <w:tcPr>
            <w:tcW w:w="1296" w:type="dxa"/>
            <w:vAlign w:val="center"/>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81.693</w:t>
            </w:r>
          </w:p>
        </w:tc>
      </w:tr>
      <w:tr w:rsidR="00F85905" w:rsidRPr="006C69B9" w:rsidTr="006C69B9">
        <w:trPr>
          <w:cnfStyle w:val="010000000000"/>
        </w:trPr>
        <w:tc>
          <w:tcPr>
            <w:cnfStyle w:val="001000000000"/>
            <w:tcW w:w="2642" w:type="dxa"/>
          </w:tcPr>
          <w:p w:rsidR="006C69B9" w:rsidRPr="006C69B9" w:rsidRDefault="006C69B9" w:rsidP="006C69B9">
            <w:pPr>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UKUPNO</w:t>
            </w:r>
          </w:p>
        </w:tc>
        <w:tc>
          <w:tcPr>
            <w:tcW w:w="1073" w:type="dxa"/>
          </w:tcPr>
          <w:p w:rsidR="006C69B9" w:rsidRPr="006C69B9" w:rsidRDefault="006C69B9" w:rsidP="006C69B9">
            <w:pPr>
              <w:jc w:val="right"/>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2.637</w:t>
            </w:r>
          </w:p>
        </w:tc>
        <w:tc>
          <w:tcPr>
            <w:tcW w:w="1283" w:type="dxa"/>
          </w:tcPr>
          <w:p w:rsidR="006C69B9" w:rsidRPr="006C69B9" w:rsidRDefault="006C69B9" w:rsidP="006C69B9">
            <w:pPr>
              <w:jc w:val="right"/>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35.954</w:t>
            </w:r>
          </w:p>
        </w:tc>
        <w:tc>
          <w:tcPr>
            <w:tcW w:w="1453" w:type="dxa"/>
          </w:tcPr>
          <w:p w:rsidR="006C69B9" w:rsidRPr="006C69B9" w:rsidRDefault="006C69B9" w:rsidP="006C69B9">
            <w:pPr>
              <w:jc w:val="right"/>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5.370.481.443</w:t>
            </w:r>
          </w:p>
        </w:tc>
        <w:tc>
          <w:tcPr>
            <w:tcW w:w="1390" w:type="dxa"/>
          </w:tcPr>
          <w:p w:rsidR="006C69B9" w:rsidRPr="006C69B9" w:rsidRDefault="006C69B9" w:rsidP="006C69B9">
            <w:pPr>
              <w:jc w:val="right"/>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808.554.571</w:t>
            </w:r>
          </w:p>
        </w:tc>
        <w:tc>
          <w:tcPr>
            <w:tcW w:w="1296" w:type="dxa"/>
          </w:tcPr>
          <w:p w:rsidR="006C69B9" w:rsidRPr="006C69B9" w:rsidRDefault="006C69B9" w:rsidP="006C69B9">
            <w:pPr>
              <w:jc w:val="right"/>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320.083.420</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w:t>
      </w:r>
    </w:p>
    <w:p w:rsidR="006C69B9" w:rsidRPr="006C69B9" w:rsidRDefault="006C69B9" w:rsidP="006C69B9">
      <w:pPr>
        <w:spacing w:after="0"/>
        <w:jc w:val="both"/>
        <w:rPr>
          <w:rFonts w:ascii="Calibri" w:eastAsia="Calibri" w:hAnsi="Calibri" w:cs="Times New Roman"/>
          <w:i/>
          <w:sz w:val="20"/>
          <w:szCs w:val="20"/>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b/>
          <w:i/>
          <w:lang w:val="bs-Latn-BA"/>
        </w:rPr>
        <w:t>Trgovina</w:t>
      </w:r>
      <w:r w:rsidRPr="006C69B9">
        <w:rPr>
          <w:rFonts w:ascii="Calibri" w:eastAsia="Calibri" w:hAnsi="Calibri" w:cs="Times New Roman"/>
          <w:lang w:val="bs-Latn-BA"/>
        </w:rPr>
        <w:t xml:space="preserve"> prednjači u svim pokazateljima, izuzev u pokazateljima prihoda od izvozima, gdje značajno prednjači prerađivačka industrija. Naime, najveći broj preduzeća na području Hercegovačko-neretvanskog kantona (815) djeluje u djelatnosti Trgovine, te preduzeća iz ove djelatnosti ujedno zapošljavaju najveći broj ljudi (7.126) te ostvaruju najveći ukupni prihod od prodaje (2.079.542.925 KM). Analizom uspješnosti poslovanja preduzeća iz djelatnosti Trgovine Hercegovačko-neretvanskog kantona pokazuje se kontinuiran rast ove privredne grane po svim osnovnim parametrima (Tabela 19).</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19</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Osnovni pokazatelji preduzeća iz djelatnosti Trgovine Hercegovačko-neretvanskog kantona</w:t>
      </w:r>
      <w:r w:rsidRPr="006C69B9">
        <w:rPr>
          <w:rFonts w:ascii="Calibri" w:eastAsia="Calibri" w:hAnsi="Calibri" w:cs="Calibri Light"/>
          <w:bCs/>
          <w:i/>
          <w:color w:val="31849B"/>
          <w:sz w:val="20"/>
        </w:rPr>
        <w:br/>
        <w:t xml:space="preserve"> u periodu 2017.-2019. godina</w:t>
      </w:r>
    </w:p>
    <w:tbl>
      <w:tblPr>
        <w:tblStyle w:val="MediumGrid3-Accent51"/>
        <w:tblW w:w="9072" w:type="dxa"/>
        <w:tblLayout w:type="fixed"/>
        <w:tblLook w:val="06A0"/>
      </w:tblPr>
      <w:tblGrid>
        <w:gridCol w:w="4113"/>
        <w:gridCol w:w="1653"/>
        <w:gridCol w:w="1653"/>
        <w:gridCol w:w="1653"/>
      </w:tblGrid>
      <w:tr w:rsidR="00F85905" w:rsidRPr="006C69B9" w:rsidTr="006C69B9">
        <w:trPr>
          <w:cnfStyle w:val="100000000000"/>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Pokazatelji</w:t>
            </w:r>
          </w:p>
        </w:tc>
        <w:tc>
          <w:tcPr>
            <w:tcW w:w="1653" w:type="dxa"/>
          </w:tcPr>
          <w:p w:rsidR="006C69B9" w:rsidRPr="006C69B9" w:rsidRDefault="006C69B9" w:rsidP="006C69B9">
            <w:pPr>
              <w:jc w:val="center"/>
              <w:cnfStyle w:val="100000000000"/>
              <w:rPr>
                <w:rFonts w:ascii="Calibri" w:eastAsia="Calibri" w:hAnsi="Calibri" w:cs="Times New Roman"/>
                <w:color w:val="003366"/>
                <w:sz w:val="20"/>
                <w:szCs w:val="20"/>
                <w:lang w:val="bs-Latn-BA"/>
              </w:rPr>
            </w:pPr>
            <w:r w:rsidRPr="006C69B9">
              <w:rPr>
                <w:rFonts w:ascii="Calibri" w:eastAsia="Calibri" w:hAnsi="Calibri" w:cs="Times New Roman"/>
                <w:color w:val="003366"/>
                <w:sz w:val="20"/>
                <w:szCs w:val="20"/>
                <w:lang w:val="bs-Latn-BA"/>
              </w:rPr>
              <w:t>2017.</w:t>
            </w:r>
          </w:p>
        </w:tc>
        <w:tc>
          <w:tcPr>
            <w:tcW w:w="1653" w:type="dxa"/>
          </w:tcPr>
          <w:p w:rsidR="006C69B9" w:rsidRPr="006C69B9" w:rsidRDefault="006C69B9" w:rsidP="006C69B9">
            <w:pPr>
              <w:jc w:val="center"/>
              <w:cnfStyle w:val="100000000000"/>
              <w:rPr>
                <w:rFonts w:ascii="Calibri" w:eastAsia="Calibri" w:hAnsi="Calibri" w:cs="Times New Roman"/>
                <w:color w:val="003366"/>
                <w:sz w:val="20"/>
                <w:szCs w:val="20"/>
                <w:lang w:val="bs-Latn-BA"/>
              </w:rPr>
            </w:pPr>
            <w:r w:rsidRPr="006C69B9">
              <w:rPr>
                <w:rFonts w:ascii="Calibri" w:eastAsia="Calibri" w:hAnsi="Calibri" w:cs="Times New Roman"/>
                <w:color w:val="003366"/>
                <w:sz w:val="20"/>
                <w:szCs w:val="20"/>
                <w:lang w:val="bs-Latn-BA"/>
              </w:rPr>
              <w:t>2018.</w:t>
            </w:r>
          </w:p>
        </w:tc>
        <w:tc>
          <w:tcPr>
            <w:tcW w:w="1653" w:type="dxa"/>
          </w:tcPr>
          <w:p w:rsidR="006C69B9" w:rsidRPr="006C69B9" w:rsidRDefault="006C69B9" w:rsidP="006C69B9">
            <w:pPr>
              <w:jc w:val="center"/>
              <w:cnfStyle w:val="100000000000"/>
              <w:rPr>
                <w:rFonts w:ascii="Calibri" w:eastAsia="Calibri" w:hAnsi="Calibri" w:cs="Times New Roman"/>
                <w:color w:val="003366"/>
                <w:sz w:val="20"/>
                <w:szCs w:val="20"/>
                <w:lang w:val="bs-Latn-BA"/>
              </w:rPr>
            </w:pPr>
            <w:r w:rsidRPr="006C69B9">
              <w:rPr>
                <w:rFonts w:ascii="Calibri" w:eastAsia="Calibri" w:hAnsi="Calibri" w:cs="Times New Roman"/>
                <w:color w:val="003366"/>
                <w:sz w:val="20"/>
                <w:szCs w:val="20"/>
                <w:lang w:val="bs-Latn-BA"/>
              </w:rPr>
              <w:t>2019.</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preduzeća</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786</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859</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815</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broj zaposlenih</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6.846</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6.872</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7.126</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Prosječan broj zaposlenih</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prihod od prodaje (KM)</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1.815.378.284</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1.906.370.987</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2.079.542.925</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Prihod od izvoza</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61.581.145</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57.978.120</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62.680.250</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Ukupna dobit (KM)</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73.518.379</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98.792.098</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103.438.892</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lastRenderedPageBreak/>
        <w:t>Izvor: TRON baza podataka zasnovana na predatim finansijskim izvještajima pravnih lica u FIA (FBiH)</w:t>
      </w:r>
    </w:p>
    <w:p w:rsidR="006C69B9" w:rsidRPr="006C69B9" w:rsidRDefault="006C69B9" w:rsidP="006C69B9">
      <w:pPr>
        <w:spacing w:after="0"/>
        <w:jc w:val="both"/>
        <w:rPr>
          <w:rFonts w:ascii="Calibri" w:eastAsia="Calibri" w:hAnsi="Calibri" w:cs="Times New Roman"/>
          <w:i/>
          <w:sz w:val="20"/>
          <w:szCs w:val="20"/>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Za razliku od trgovine, </w:t>
      </w:r>
      <w:r w:rsidRPr="006C69B9">
        <w:rPr>
          <w:rFonts w:ascii="Calibri" w:eastAsia="Calibri" w:hAnsi="Calibri" w:cs="Times New Roman"/>
          <w:b/>
          <w:i/>
          <w:lang w:val="bs-Latn-BA"/>
        </w:rPr>
        <w:t>prerađivačka djelatnost</w:t>
      </w:r>
      <w:r w:rsidRPr="006C69B9">
        <w:rPr>
          <w:rFonts w:ascii="Calibri" w:eastAsia="Calibri" w:hAnsi="Calibri" w:cs="Times New Roman"/>
          <w:lang w:val="bs-Latn-BA"/>
        </w:rPr>
        <w:t xml:space="preserve"> koja je druga grana po ostvarenom prihodu od prodaje, bilježi ne tako uspješne rezultate u prethodnom periodu. Dok većina pokazatelja stagnira u vrijednostima, interesantno je primjetiti da su preduzeća iz ove grane tokom 2018 i 2019 iskazale gubitak u poslovanju. Ipak ohrabruje činjenica da je iskazani gubitak u 2019. godini dvostruko manji od iskazanog gubitka u 2018 (Tabela 20).</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20</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Osnovni pokazatelji preduzeća iz djelatnosti Prerađivačke industrije Hercegovačko-neretvanskog kantona u periodu  2017.-2019. godina</w:t>
      </w:r>
    </w:p>
    <w:tbl>
      <w:tblPr>
        <w:tblStyle w:val="MediumGrid3-Accent51"/>
        <w:tblW w:w="9072" w:type="dxa"/>
        <w:tblLayout w:type="fixed"/>
        <w:tblLook w:val="06A0"/>
      </w:tblPr>
      <w:tblGrid>
        <w:gridCol w:w="4113"/>
        <w:gridCol w:w="1653"/>
        <w:gridCol w:w="1653"/>
        <w:gridCol w:w="1653"/>
      </w:tblGrid>
      <w:tr w:rsidR="00F85905" w:rsidRPr="006C69B9" w:rsidTr="006C69B9">
        <w:trPr>
          <w:cnfStyle w:val="100000000000"/>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Pokazatelji</w:t>
            </w:r>
          </w:p>
        </w:tc>
        <w:tc>
          <w:tcPr>
            <w:tcW w:w="165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65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65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preduzeća</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402</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433</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415</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broj zaposlenih</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7.204</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7.412</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7.312</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Prosječan broj zaposlenih</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17</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prihod od prodaje (KM)</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1.256.400.409</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1.364.147.781</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1.146.652.499</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Prihod od izvoza</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659.460.128</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735.374.280</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573.291.502</w:t>
            </w:r>
          </w:p>
        </w:tc>
      </w:tr>
      <w:tr w:rsidR="00F85905" w:rsidRPr="006C69B9" w:rsidTr="006C69B9">
        <w:trPr>
          <w:trHeight w:val="20"/>
        </w:trPr>
        <w:tc>
          <w:tcPr>
            <w:cnfStyle w:val="001000000000"/>
            <w:tcW w:w="4113"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Ukupna dobit (KM)</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11.632.331</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-70.724.995</w:t>
            </w:r>
          </w:p>
        </w:tc>
        <w:tc>
          <w:tcPr>
            <w:tcW w:w="1653"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-32.373.775</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w:t>
      </w:r>
    </w:p>
    <w:p w:rsidR="006C69B9" w:rsidRPr="006C69B9" w:rsidRDefault="006C69B9" w:rsidP="006C69B9">
      <w:pPr>
        <w:spacing w:after="0"/>
        <w:jc w:val="both"/>
        <w:rPr>
          <w:rFonts w:ascii="Calibri" w:eastAsia="Calibri" w:hAnsi="Calibri" w:cs="Times New Roman"/>
          <w:i/>
          <w:sz w:val="20"/>
          <w:szCs w:val="20"/>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Preduzeća prerađivačke industrije Hercegovačko-neretvanskog kantona najveći su izvoznici s područja Kantona. Iako nešto manji u odnosu na 2018. godinu. prihod od izvoza u ovoj industriji činio je 74.3% od ukupno ostvarenog izvoza preduzeća u ovoj djelatnosti u 2019. godini. Na području Hercegovačko-neretvanskog kantona posluje 19.2% preduzeća iz oblasti prerađivačke industrije Federacije BiH.</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21</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Osnovni pokazatelji po oblastima Prerađivačke industrije Hercegovačko-neretvanskog kantona u periodu  2017.-2019. godina</w:t>
      </w:r>
    </w:p>
    <w:tbl>
      <w:tblPr>
        <w:tblStyle w:val="MediumGrid3-Accent51"/>
        <w:tblW w:w="9654" w:type="dxa"/>
        <w:tblLayout w:type="fixed"/>
        <w:tblLook w:val="06A0"/>
      </w:tblPr>
      <w:tblGrid>
        <w:gridCol w:w="2567"/>
        <w:gridCol w:w="1181"/>
        <w:gridCol w:w="1181"/>
        <w:gridCol w:w="1181"/>
        <w:gridCol w:w="1181"/>
        <w:gridCol w:w="1181"/>
        <w:gridCol w:w="1182"/>
      </w:tblGrid>
      <w:tr w:rsidR="00F85905" w:rsidRPr="006C69B9" w:rsidTr="006C69B9">
        <w:trPr>
          <w:cnfStyle w:val="100000000000"/>
          <w:trHeight w:val="480"/>
        </w:trPr>
        <w:tc>
          <w:tcPr>
            <w:cnfStyle w:val="001000000000"/>
            <w:tcW w:w="2567" w:type="dxa"/>
            <w:noWrap/>
            <w:vAlign w:val="center"/>
            <w:hideMark/>
          </w:tcPr>
          <w:p w:rsidR="006C69B9" w:rsidRPr="006C69B9" w:rsidRDefault="006C69B9" w:rsidP="006C69B9">
            <w:pPr>
              <w:jc w:val="center"/>
              <w:rPr>
                <w:rFonts w:ascii="Calibri" w:eastAsia="Times New Roman" w:hAnsi="Calibri" w:cs="Calibri"/>
                <w:sz w:val="18"/>
                <w:szCs w:val="18"/>
              </w:rPr>
            </w:pPr>
            <w:r w:rsidRPr="006C69B9">
              <w:rPr>
                <w:rFonts w:ascii="Calibri" w:eastAsia="Times New Roman" w:hAnsi="Calibri" w:cs="Calibri"/>
                <w:sz w:val="18"/>
                <w:szCs w:val="18"/>
              </w:rPr>
              <w:t>PRERAĐIVAČKA INDUSTRIJA</w:t>
            </w:r>
          </w:p>
        </w:tc>
        <w:tc>
          <w:tcPr>
            <w:tcW w:w="118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Ukupan prihod od prodaje (KM)</w:t>
            </w:r>
          </w:p>
        </w:tc>
        <w:tc>
          <w:tcPr>
            <w:tcW w:w="118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Prosječan prihod od prodaje (KM)</w:t>
            </w:r>
          </w:p>
        </w:tc>
        <w:tc>
          <w:tcPr>
            <w:tcW w:w="118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Prihod od izvoza</w:t>
            </w:r>
          </w:p>
        </w:tc>
        <w:tc>
          <w:tcPr>
            <w:tcW w:w="118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Ukupna dobit (KM)</w:t>
            </w:r>
          </w:p>
        </w:tc>
        <w:tc>
          <w:tcPr>
            <w:tcW w:w="118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Broj preduzeća</w:t>
            </w:r>
          </w:p>
        </w:tc>
        <w:tc>
          <w:tcPr>
            <w:tcW w:w="1182"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Broj zaposlenih</w:t>
            </w:r>
          </w:p>
        </w:tc>
      </w:tr>
      <w:tr w:rsidR="00F85905" w:rsidRPr="006C69B9" w:rsidTr="006C69B9">
        <w:trPr>
          <w:trHeight w:val="48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gotovih metalnih proizvoda, osim mašina i opreme</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380.822.998</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5.600.338</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263.370.808</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31.975.914</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68</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2.896 </w:t>
            </w:r>
          </w:p>
        </w:tc>
      </w:tr>
      <w:tr w:rsidR="00F85905" w:rsidRPr="006C69B9" w:rsidTr="006C69B9">
        <w:trPr>
          <w:trHeight w:val="240"/>
        </w:trPr>
        <w:tc>
          <w:tcPr>
            <w:cnfStyle w:val="001000000000"/>
            <w:tcW w:w="2567" w:type="dxa"/>
            <w:noWrap/>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prehrambenih proizvoda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168.207.446</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2.850.974</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8.829.831</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19.096.904</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59</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988 </w:t>
            </w:r>
          </w:p>
        </w:tc>
      </w:tr>
      <w:tr w:rsidR="00F85905" w:rsidRPr="006C69B9" w:rsidTr="006C69B9">
        <w:trPr>
          <w:trHeight w:val="240"/>
        </w:trPr>
        <w:tc>
          <w:tcPr>
            <w:cnfStyle w:val="001000000000"/>
            <w:tcW w:w="2567" w:type="dxa"/>
            <w:noWrap/>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pića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51.533.235</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1.982.048</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14.062.056</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2.546.798</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26</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454 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namještaja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22.691.095</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1.134.555</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8.904.637</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2.270.059</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20</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205 </w:t>
            </w:r>
          </w:p>
        </w:tc>
      </w:tr>
      <w:tr w:rsidR="00F85905" w:rsidRPr="006C69B9" w:rsidTr="006C69B9">
        <w:trPr>
          <w:trHeight w:val="48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hemikalija i hemijskih proizvoda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15.633.699</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1.202.592</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9.003.232</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1.877.756</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13</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45 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papira i proizvoda od papira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21.085.349</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1.757.112</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3.262.536</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1.243.496</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12</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113 </w:t>
            </w:r>
          </w:p>
        </w:tc>
      </w:tr>
      <w:tr w:rsidR="00F85905" w:rsidRPr="006C69B9" w:rsidTr="006C69B9">
        <w:trPr>
          <w:trHeight w:val="48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računara te elektroničkih i optičkih proizvoda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35.228.402</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3.522.840</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2.983.146</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1.149.366</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10</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163 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Prerada drva i proizvoda od drva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11.895.717</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283.231</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5.595.606</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705.824</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42</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216 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tekstila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11.767.951</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1.961.325</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2.536.811</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533.400</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6</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102 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električne opreme</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7.276.411</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727.641</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1.124.651</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408.293</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10</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32 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odjeće</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4.652.184</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422.926</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2.551.632</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279.763</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11</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253 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Ostala prerađivačka ndustrija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2.728.950</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227.412</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1.254.796</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67.342</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12</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55 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motornih vozila, prikolica i poluprikolica</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988.595</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247.149</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0</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53.140</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4</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9 </w:t>
            </w:r>
          </w:p>
        </w:tc>
      </w:tr>
      <w:tr w:rsidR="00F85905" w:rsidRPr="006C69B9" w:rsidTr="006C69B9">
        <w:trPr>
          <w:trHeight w:val="240"/>
        </w:trPr>
        <w:tc>
          <w:tcPr>
            <w:cnfStyle w:val="001000000000"/>
            <w:tcW w:w="2567"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Popravak iinstaliranje mašina i opreme</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2.115.319</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192.302</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238.543</w:t>
            </w:r>
          </w:p>
        </w:tc>
        <w:tc>
          <w:tcPr>
            <w:tcW w:w="1181" w:type="dxa"/>
            <w:hideMark/>
          </w:tcPr>
          <w:p w:rsidR="006C69B9" w:rsidRPr="006C69B9" w:rsidRDefault="006C69B9" w:rsidP="006C69B9">
            <w:pPr>
              <w:jc w:val="right"/>
              <w:cnfStyle w:val="000000000000"/>
              <w:rPr>
                <w:rFonts w:ascii="Calibri" w:eastAsia="Times New Roman" w:hAnsi="Calibri" w:cs="Calibri"/>
                <w:sz w:val="18"/>
                <w:szCs w:val="18"/>
              </w:rPr>
            </w:pPr>
            <w:r w:rsidRPr="006C69B9">
              <w:rPr>
                <w:rFonts w:ascii="Calibri" w:eastAsia="Times New Roman" w:hAnsi="Calibri" w:cs="Calibri"/>
                <w:sz w:val="18"/>
                <w:szCs w:val="18"/>
              </w:rPr>
              <w:t>-249.778</w:t>
            </w:r>
          </w:p>
        </w:tc>
        <w:tc>
          <w:tcPr>
            <w:tcW w:w="1181"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 11</w:t>
            </w:r>
          </w:p>
        </w:tc>
        <w:tc>
          <w:tcPr>
            <w:tcW w:w="1182" w:type="dxa"/>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34 </w:t>
            </w:r>
          </w:p>
        </w:tc>
      </w:tr>
    </w:tbl>
    <w:p w:rsidR="006C69B9" w:rsidRPr="006C69B9" w:rsidRDefault="006C69B9" w:rsidP="006C69B9">
      <w:pPr>
        <w:spacing w:after="0"/>
        <w:jc w:val="both"/>
        <w:rPr>
          <w:rFonts w:ascii="Calibri" w:eastAsia="Calibri" w:hAnsi="Calibri" w:cs="Times New Roman"/>
          <w:i/>
          <w:sz w:val="20"/>
          <w:szCs w:val="20"/>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w:t>
      </w:r>
    </w:p>
    <w:p w:rsidR="006C69B9" w:rsidRPr="006C69B9" w:rsidRDefault="006C69B9" w:rsidP="006C69B9">
      <w:pPr>
        <w:spacing w:before="240"/>
        <w:jc w:val="both"/>
        <w:rPr>
          <w:rFonts w:ascii="Calibri" w:eastAsia="Calibri" w:hAnsi="Calibri" w:cs="Times New Roman"/>
          <w:lang w:val="bs-Latn-BA"/>
        </w:rPr>
      </w:pPr>
      <w:r w:rsidRPr="006C69B9">
        <w:rPr>
          <w:rFonts w:ascii="Calibri" w:eastAsia="Calibri" w:hAnsi="Calibri" w:cs="Times New Roman"/>
          <w:lang w:val="bs-Latn-BA"/>
        </w:rPr>
        <w:lastRenderedPageBreak/>
        <w:t xml:space="preserve">Ukoliko se posmatra uspješnost prerađivačke industrije po oblastima, vidljivo je da su najznačajnije oblasti Proizvodnja gotovih metalnih proizvoda, osim mašina i opreme, Proizvodnja prehrambenih proizvoda, Proizvodnja pića i Proizvodnja namještaja. Ove oblasti imaju najznačajnije indikatore ukupnog prihoda, ukupne dobiti i broja zaposlenih. Također je interesantno primjetiti da su preduzeća iz oblasti metalne proizvodnje, proizvodnje pića i proizvodnje hemikalija najveći izvoznici sa područja HNK. Zbog važnosti oblasti metalne proizvodnje i oblasti prehrambene proizvodnje, u nastavku se daje pregled osnovnih pokazatelja uspješnosti ove dvije oblasti.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22</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Osnovni pokazatelji uspješnosti preduzeća iz oblasti metalne proizvodnje Hercegovačko-neretvanskog kantona u periodu  2017.-2019. godina</w:t>
      </w:r>
    </w:p>
    <w:tbl>
      <w:tblPr>
        <w:tblStyle w:val="MediumGrid3-Accent51"/>
        <w:tblW w:w="9869" w:type="dxa"/>
        <w:tblLayout w:type="fixed"/>
        <w:tblLook w:val="04A0"/>
      </w:tblPr>
      <w:tblGrid>
        <w:gridCol w:w="2425"/>
        <w:gridCol w:w="1240"/>
        <w:gridCol w:w="1241"/>
        <w:gridCol w:w="1241"/>
        <w:gridCol w:w="1240"/>
        <w:gridCol w:w="1241"/>
        <w:gridCol w:w="1241"/>
      </w:tblGrid>
      <w:tr w:rsidR="00F85905" w:rsidRPr="006C69B9" w:rsidTr="006C69B9">
        <w:trPr>
          <w:cnfStyle w:val="100000000000"/>
          <w:trHeight w:val="720"/>
        </w:trPr>
        <w:tc>
          <w:tcPr>
            <w:cnfStyle w:val="001000000000"/>
            <w:tcW w:w="2425" w:type="dxa"/>
            <w:hideMark/>
          </w:tcPr>
          <w:p w:rsidR="006C69B9" w:rsidRPr="006C69B9" w:rsidRDefault="006C69B9" w:rsidP="006C69B9">
            <w:pPr>
              <w:rPr>
                <w:rFonts w:ascii="Calibri" w:eastAsia="Times New Roman" w:hAnsi="Calibri" w:cs="Calibri"/>
                <w:i/>
                <w:iCs/>
                <w:sz w:val="18"/>
                <w:szCs w:val="18"/>
              </w:rPr>
            </w:pPr>
            <w:r w:rsidRPr="006C69B9">
              <w:rPr>
                <w:rFonts w:ascii="Calibri" w:eastAsia="Times New Roman" w:hAnsi="Calibri" w:cs="Calibri"/>
                <w:i/>
                <w:iCs/>
                <w:sz w:val="18"/>
                <w:szCs w:val="18"/>
              </w:rPr>
              <w:t>Proizvodnja gotovih metalnih proizvoda, osim mašina i opreme</w:t>
            </w:r>
          </w:p>
        </w:tc>
        <w:tc>
          <w:tcPr>
            <w:tcW w:w="1240"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Ukupan prihod od prodaje (KM)</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Prosječan prihod od prodaje (KM)</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Prihod od izvoza</w:t>
            </w:r>
          </w:p>
        </w:tc>
        <w:tc>
          <w:tcPr>
            <w:tcW w:w="1240"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Ukupna dobit (KM)</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Broj preduzeća</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Broj zaposlenih</w:t>
            </w:r>
          </w:p>
        </w:tc>
      </w:tr>
      <w:tr w:rsidR="00F85905" w:rsidRPr="006C69B9" w:rsidTr="006C69B9">
        <w:trPr>
          <w:cnfStyle w:val="000000100000"/>
          <w:trHeight w:val="300"/>
        </w:trPr>
        <w:tc>
          <w:tcPr>
            <w:cnfStyle w:val="001000000000"/>
            <w:tcW w:w="2425"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oružja i municije</w:t>
            </w:r>
          </w:p>
        </w:tc>
        <w:tc>
          <w:tcPr>
            <w:tcW w:w="1240"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131.082.343</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131.082.343</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124.885.082</w:t>
            </w:r>
          </w:p>
        </w:tc>
        <w:tc>
          <w:tcPr>
            <w:tcW w:w="1240"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14.410.771</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1.232</w:t>
            </w:r>
          </w:p>
        </w:tc>
      </w:tr>
      <w:tr w:rsidR="00F85905" w:rsidRPr="006C69B9" w:rsidTr="006C69B9">
        <w:trPr>
          <w:trHeight w:val="480"/>
        </w:trPr>
        <w:tc>
          <w:tcPr>
            <w:cnfStyle w:val="001000000000"/>
            <w:tcW w:w="2425"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ostalih gotovih proizvoda od metala</w:t>
            </w:r>
          </w:p>
        </w:tc>
        <w:tc>
          <w:tcPr>
            <w:tcW w:w="1240"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166.496.989</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7.928.428</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106.337.428</w:t>
            </w:r>
          </w:p>
        </w:tc>
        <w:tc>
          <w:tcPr>
            <w:tcW w:w="1240"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9.627.435</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21</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652</w:t>
            </w:r>
          </w:p>
        </w:tc>
      </w:tr>
      <w:tr w:rsidR="00F85905" w:rsidRPr="006C69B9" w:rsidTr="006C69B9">
        <w:trPr>
          <w:cnfStyle w:val="000000100000"/>
          <w:trHeight w:val="645"/>
        </w:trPr>
        <w:tc>
          <w:tcPr>
            <w:cnfStyle w:val="001000000000"/>
            <w:tcW w:w="2425"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Površinska obrada i presvlačenje metala, mašinska obrada metala</w:t>
            </w:r>
          </w:p>
        </w:tc>
        <w:tc>
          <w:tcPr>
            <w:tcW w:w="1240"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50.509.194</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5.050.919</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22.748.293</w:t>
            </w:r>
          </w:p>
        </w:tc>
        <w:tc>
          <w:tcPr>
            <w:tcW w:w="1240"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5.987.690</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10</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610</w:t>
            </w:r>
          </w:p>
        </w:tc>
      </w:tr>
      <w:tr w:rsidR="00F85905" w:rsidRPr="006C69B9" w:rsidTr="006C69B9">
        <w:trPr>
          <w:trHeight w:val="240"/>
        </w:trPr>
        <w:tc>
          <w:tcPr>
            <w:cnfStyle w:val="001000000000"/>
            <w:tcW w:w="2425"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metalne konstrukcije</w:t>
            </w:r>
          </w:p>
        </w:tc>
        <w:tc>
          <w:tcPr>
            <w:tcW w:w="1240"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24.058.035</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801.934</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8.870.783</w:t>
            </w:r>
          </w:p>
        </w:tc>
        <w:tc>
          <w:tcPr>
            <w:tcW w:w="1240"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1.594.299</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30</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222</w:t>
            </w:r>
          </w:p>
        </w:tc>
      </w:tr>
      <w:tr w:rsidR="00F85905" w:rsidRPr="006C69B9" w:rsidTr="006C69B9">
        <w:trPr>
          <w:cnfStyle w:val="000000100000"/>
          <w:trHeight w:val="300"/>
        </w:trPr>
        <w:tc>
          <w:tcPr>
            <w:cnfStyle w:val="001000000000"/>
            <w:tcW w:w="2425"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Proizvodnja sječiva, alata i metalnih proizvoda za opću namjenu</w:t>
            </w:r>
          </w:p>
        </w:tc>
        <w:tc>
          <w:tcPr>
            <w:tcW w:w="1240"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3.044.483</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1.522.242</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368.590</w:t>
            </w:r>
          </w:p>
        </w:tc>
        <w:tc>
          <w:tcPr>
            <w:tcW w:w="1240"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198.282</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2</w:t>
            </w:r>
          </w:p>
        </w:tc>
        <w:tc>
          <w:tcPr>
            <w:tcW w:w="1241" w:type="dxa"/>
            <w:vAlign w:val="center"/>
            <w:hideMark/>
          </w:tcPr>
          <w:p w:rsidR="006C69B9" w:rsidRPr="006C69B9" w:rsidRDefault="006C69B9" w:rsidP="006C69B9">
            <w:pPr>
              <w:jc w:val="center"/>
              <w:cnfStyle w:val="000000100000"/>
              <w:rPr>
                <w:rFonts w:ascii="Calibri" w:eastAsia="Times New Roman" w:hAnsi="Calibri" w:cs="Calibri"/>
                <w:sz w:val="18"/>
                <w:szCs w:val="18"/>
              </w:rPr>
            </w:pPr>
            <w:r w:rsidRPr="006C69B9">
              <w:rPr>
                <w:rFonts w:ascii="Calibri" w:eastAsia="Times New Roman" w:hAnsi="Calibri" w:cs="Calibri"/>
                <w:sz w:val="18"/>
                <w:szCs w:val="18"/>
              </w:rPr>
              <w:t>86</w:t>
            </w:r>
          </w:p>
        </w:tc>
      </w:tr>
      <w:tr w:rsidR="00F85905" w:rsidRPr="006C69B9" w:rsidTr="006C69B9">
        <w:trPr>
          <w:trHeight w:val="480"/>
        </w:trPr>
        <w:tc>
          <w:tcPr>
            <w:cnfStyle w:val="001000000000"/>
            <w:tcW w:w="2425" w:type="dxa"/>
            <w:hideMark/>
          </w:tcPr>
          <w:p w:rsidR="006C69B9" w:rsidRPr="006C69B9" w:rsidRDefault="006C69B9" w:rsidP="006C69B9">
            <w:pPr>
              <w:rPr>
                <w:rFonts w:ascii="Calibri" w:eastAsia="Times New Roman" w:hAnsi="Calibri" w:cs="Calibri"/>
                <w:sz w:val="18"/>
                <w:szCs w:val="18"/>
              </w:rPr>
            </w:pPr>
            <w:r w:rsidRPr="006C69B9">
              <w:rPr>
                <w:rFonts w:ascii="Calibri" w:eastAsia="Times New Roman" w:hAnsi="Calibri" w:cs="Calibri"/>
                <w:sz w:val="18"/>
                <w:szCs w:val="18"/>
              </w:rPr>
              <w:t>Kovanje, presovanje, štancanje i valjanje metala; metalurgija praha</w:t>
            </w:r>
          </w:p>
        </w:tc>
        <w:tc>
          <w:tcPr>
            <w:tcW w:w="1240"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5.631.954</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1.407.988</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160.632</w:t>
            </w:r>
          </w:p>
        </w:tc>
        <w:tc>
          <w:tcPr>
            <w:tcW w:w="1240"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157.437</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4</w:t>
            </w:r>
          </w:p>
        </w:tc>
        <w:tc>
          <w:tcPr>
            <w:tcW w:w="1241" w:type="dxa"/>
            <w:vAlign w:val="center"/>
            <w:hideMark/>
          </w:tcPr>
          <w:p w:rsidR="006C69B9" w:rsidRPr="006C69B9" w:rsidRDefault="006C69B9" w:rsidP="006C69B9">
            <w:pPr>
              <w:jc w:val="center"/>
              <w:cnfStyle w:val="000000000000"/>
              <w:rPr>
                <w:rFonts w:ascii="Calibri" w:eastAsia="Times New Roman" w:hAnsi="Calibri" w:cs="Calibri"/>
                <w:sz w:val="18"/>
                <w:szCs w:val="18"/>
              </w:rPr>
            </w:pPr>
            <w:r w:rsidRPr="006C69B9">
              <w:rPr>
                <w:rFonts w:ascii="Calibri" w:eastAsia="Times New Roman" w:hAnsi="Calibri" w:cs="Calibri"/>
                <w:sz w:val="18"/>
                <w:szCs w:val="18"/>
              </w:rPr>
              <w:t>94</w:t>
            </w:r>
          </w:p>
        </w:tc>
      </w:tr>
    </w:tbl>
    <w:p w:rsidR="006C69B9" w:rsidRPr="006C69B9" w:rsidRDefault="006C69B9" w:rsidP="006C69B9">
      <w:pPr>
        <w:spacing w:after="0"/>
        <w:jc w:val="both"/>
        <w:rPr>
          <w:rFonts w:ascii="Calibri" w:eastAsia="Calibri" w:hAnsi="Calibri" w:cs="Times New Roman"/>
          <w:b/>
          <w:i/>
          <w:sz w:val="16"/>
          <w:szCs w:val="16"/>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w:t>
      </w:r>
    </w:p>
    <w:p w:rsidR="006C69B9" w:rsidRPr="006C69B9" w:rsidRDefault="006C69B9" w:rsidP="006C69B9">
      <w:pPr>
        <w:spacing w:after="0"/>
        <w:jc w:val="both"/>
        <w:rPr>
          <w:rFonts w:ascii="Calibri" w:eastAsia="Calibri" w:hAnsi="Calibri" w:cs="Times New Roman"/>
          <w:b/>
          <w:i/>
          <w:sz w:val="16"/>
          <w:szCs w:val="16"/>
          <w:lang w:val="bs-Latn-BA"/>
        </w:rPr>
      </w:pPr>
    </w:p>
    <w:p w:rsidR="006C69B9" w:rsidRPr="006C69B9" w:rsidRDefault="006C69B9" w:rsidP="006C69B9">
      <w:pPr>
        <w:spacing w:before="240"/>
        <w:jc w:val="both"/>
        <w:rPr>
          <w:rFonts w:ascii="Calibri" w:eastAsia="Calibri" w:hAnsi="Calibri" w:cs="Times New Roman"/>
          <w:lang w:val="bs-Latn-BA"/>
        </w:rPr>
      </w:pPr>
      <w:r w:rsidRPr="006C69B9">
        <w:rPr>
          <w:rFonts w:ascii="Calibri" w:eastAsia="Calibri" w:hAnsi="Calibri" w:cs="Times New Roman"/>
          <w:lang w:val="bs-Latn-BA"/>
        </w:rPr>
        <w:t>Oblast metalne proizvodnje je značajna radi postojanja kompanije za proizvodnju oružja i streljiva „Igman“ dd Jablanica, koja kao što je vidljivo iz Tabele 22 zapošljava 1.232 osobe i ima obim izvoza 124 miliona KM. Pored proizvodnje oružja, značajne su djelatnosti proizvodnje armaturnih mreža (FerroKeš doo), lijevanje metala (Zinkteknik Bosnia doo Mostar), i čelične konstrukcije (SIK doo Mostar).</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lang w:val="bs-Latn-BA"/>
        </w:rPr>
        <w:br/>
      </w: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23</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Osnovni pokazatelji uspješnosti preduzeća iz oblasti prehrambene proizvodnje Hercegovačko-neretvanskog kantona u periodu  2017.-2019. godina</w:t>
      </w:r>
    </w:p>
    <w:tbl>
      <w:tblPr>
        <w:tblStyle w:val="MediumGrid3-Accent51"/>
        <w:tblW w:w="9869" w:type="dxa"/>
        <w:tblLayout w:type="fixed"/>
        <w:tblLook w:val="06A0"/>
      </w:tblPr>
      <w:tblGrid>
        <w:gridCol w:w="2425"/>
        <w:gridCol w:w="1240"/>
        <w:gridCol w:w="1241"/>
        <w:gridCol w:w="1241"/>
        <w:gridCol w:w="1240"/>
        <w:gridCol w:w="1241"/>
        <w:gridCol w:w="1241"/>
      </w:tblGrid>
      <w:tr w:rsidR="00F85905" w:rsidRPr="006C69B9" w:rsidTr="006C69B9">
        <w:trPr>
          <w:cnfStyle w:val="100000000000"/>
          <w:trHeight w:val="720"/>
        </w:trPr>
        <w:tc>
          <w:tcPr>
            <w:cnfStyle w:val="001000000000"/>
            <w:tcW w:w="2425" w:type="dxa"/>
            <w:hideMark/>
          </w:tcPr>
          <w:p w:rsidR="006C69B9" w:rsidRPr="006C69B9" w:rsidRDefault="006C69B9" w:rsidP="006C69B9">
            <w:pPr>
              <w:rPr>
                <w:rFonts w:ascii="Calibri" w:eastAsia="Times New Roman" w:hAnsi="Calibri" w:cs="Calibri"/>
                <w:i/>
                <w:iCs/>
                <w:sz w:val="18"/>
                <w:szCs w:val="18"/>
              </w:rPr>
            </w:pPr>
            <w:r w:rsidRPr="006C69B9">
              <w:rPr>
                <w:rFonts w:ascii="Calibri" w:eastAsia="Times New Roman" w:hAnsi="Calibri" w:cs="Calibri"/>
                <w:i/>
                <w:iCs/>
                <w:sz w:val="18"/>
                <w:szCs w:val="18"/>
              </w:rPr>
              <w:t>Proizvodnja gotovih metalnih proizvoda, osim mašina i opreme</w:t>
            </w:r>
          </w:p>
        </w:tc>
        <w:tc>
          <w:tcPr>
            <w:tcW w:w="1240"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Ukupan prihod od prodaje (KM)</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Prosječan prihod od prodaje (KM)</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Prihod od izvoza</w:t>
            </w:r>
          </w:p>
        </w:tc>
        <w:tc>
          <w:tcPr>
            <w:tcW w:w="1240"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Ukupna dobit (KM)</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Broj preduzeća</w:t>
            </w:r>
          </w:p>
        </w:tc>
        <w:tc>
          <w:tcPr>
            <w:tcW w:w="1241"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Broj zaposlenih</w:t>
            </w:r>
          </w:p>
        </w:tc>
      </w:tr>
      <w:tr w:rsidR="00F85905" w:rsidRPr="006C69B9" w:rsidTr="006C69B9">
        <w:trPr>
          <w:trHeight w:val="30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Proizvodnja mliječnih proizvoda</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97.147.820</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10.794.202</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25.917</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14.480.114</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410</w:t>
            </w:r>
          </w:p>
        </w:tc>
      </w:tr>
      <w:tr w:rsidR="00F85905" w:rsidRPr="006C69B9" w:rsidTr="006C69B9">
        <w:trPr>
          <w:trHeight w:val="48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proizvodnja ostalih prehrambenih proizvoda</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25.590.919</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2.326.447</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4.116.329</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2.691.851</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101</w:t>
            </w:r>
          </w:p>
        </w:tc>
      </w:tr>
      <w:tr w:rsidR="00F85905" w:rsidRPr="006C69B9" w:rsidTr="006C69B9">
        <w:trPr>
          <w:trHeight w:val="645"/>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prerada i konzerviranje mesa i proizvodnja mesnih proizvoda</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14.649.122</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1.831.140</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254.158</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924.658</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8</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94</w:t>
            </w:r>
          </w:p>
        </w:tc>
      </w:tr>
      <w:tr w:rsidR="00F85905" w:rsidRPr="006C69B9" w:rsidTr="006C69B9">
        <w:trPr>
          <w:trHeight w:val="24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Prerada i konzervroanje voća i povrća</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11.509.835</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1.278.871</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1.504.290</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455.890</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30</w:t>
            </w:r>
          </w:p>
        </w:tc>
      </w:tr>
      <w:tr w:rsidR="00F85905" w:rsidRPr="006C69B9" w:rsidTr="006C69B9">
        <w:trPr>
          <w:trHeight w:val="30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Proizvodnja mlinskih proizvoda, škroba i škrobnih proizvoda</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6.001.123</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3.000.562</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10.790</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223.003</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75</w:t>
            </w:r>
          </w:p>
        </w:tc>
      </w:tr>
      <w:tr w:rsidR="00F85905" w:rsidRPr="006C69B9" w:rsidTr="006C69B9">
        <w:trPr>
          <w:trHeight w:val="48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Proizvodnja pekarskih proizvoda</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7.520.492</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537.178</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152.543</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175.130</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14</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199</w:t>
            </w:r>
          </w:p>
        </w:tc>
      </w:tr>
      <w:tr w:rsidR="00F85905" w:rsidRPr="006C69B9" w:rsidTr="006C69B9">
        <w:trPr>
          <w:trHeight w:val="48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Prerada i konzervroanje riba, ljuskara i mekušaca</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3.332.584</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3.332.584</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2.709.649</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76.233</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53</w:t>
            </w:r>
          </w:p>
        </w:tc>
      </w:tr>
      <w:tr w:rsidR="00F85905" w:rsidRPr="006C69B9" w:rsidTr="006C69B9">
        <w:trPr>
          <w:trHeight w:val="48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lastRenderedPageBreak/>
              <w:t>proizvodnja pripremljene hrane za životinje</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1.446.085</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482.028</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0</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46.536</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14</w:t>
            </w:r>
          </w:p>
        </w:tc>
      </w:tr>
      <w:tr w:rsidR="00F85905" w:rsidRPr="006C69B9" w:rsidTr="006C69B9">
        <w:trPr>
          <w:trHeight w:val="480"/>
        </w:trPr>
        <w:tc>
          <w:tcPr>
            <w:cnfStyle w:val="001000000000"/>
            <w:tcW w:w="2425" w:type="dxa"/>
            <w:vAlign w:val="bottom"/>
            <w:hideMark/>
          </w:tcPr>
          <w:p w:rsidR="006C69B9" w:rsidRPr="006C69B9" w:rsidRDefault="006C69B9" w:rsidP="006C69B9">
            <w:pPr>
              <w:rPr>
                <w:rFonts w:ascii="Calibri" w:eastAsia="Calibri" w:hAnsi="Calibri" w:cs="Calibri"/>
                <w:sz w:val="18"/>
                <w:szCs w:val="18"/>
                <w:lang w:val="bs-Latn-BA"/>
              </w:rPr>
            </w:pPr>
            <w:r w:rsidRPr="006C69B9">
              <w:rPr>
                <w:rFonts w:ascii="Calibri" w:eastAsia="Calibri" w:hAnsi="Calibri" w:cs="Calibri"/>
                <w:sz w:val="18"/>
                <w:szCs w:val="18"/>
                <w:lang w:val="bs-Latn-BA"/>
              </w:rPr>
              <w:t>proizvodnja biljnih i životinjskih ulja i masti</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1.009.466</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504.733</w:t>
            </w:r>
          </w:p>
        </w:tc>
        <w:tc>
          <w:tcPr>
            <w:tcW w:w="1241"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56.155</w:t>
            </w:r>
          </w:p>
        </w:tc>
        <w:tc>
          <w:tcPr>
            <w:tcW w:w="1240" w:type="dxa"/>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23.489</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w:t>
            </w:r>
          </w:p>
        </w:tc>
        <w:tc>
          <w:tcPr>
            <w:tcW w:w="1241" w:type="dxa"/>
            <w:vAlign w:val="center"/>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12</w:t>
            </w:r>
          </w:p>
        </w:tc>
      </w:tr>
    </w:tbl>
    <w:p w:rsidR="006C69B9" w:rsidRPr="006C69B9" w:rsidRDefault="006C69B9" w:rsidP="006C69B9">
      <w:pPr>
        <w:spacing w:after="0"/>
        <w:jc w:val="both"/>
        <w:rPr>
          <w:rFonts w:ascii="Calibri" w:eastAsia="Calibri" w:hAnsi="Calibri" w:cs="Times New Roman"/>
          <w:i/>
          <w:sz w:val="20"/>
          <w:szCs w:val="20"/>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w:t>
      </w:r>
    </w:p>
    <w:p w:rsidR="006C69B9" w:rsidRPr="006C69B9" w:rsidRDefault="006C69B9" w:rsidP="006C69B9">
      <w:pPr>
        <w:spacing w:before="240"/>
        <w:jc w:val="both"/>
        <w:rPr>
          <w:rFonts w:ascii="Calibri" w:eastAsia="Calibri" w:hAnsi="Calibri" w:cs="Times New Roman"/>
          <w:lang w:val="bs-Latn-BA"/>
        </w:rPr>
      </w:pPr>
      <w:r w:rsidRPr="006C69B9">
        <w:rPr>
          <w:rFonts w:ascii="Calibri" w:eastAsia="Calibri" w:hAnsi="Calibri" w:cs="Times New Roman"/>
          <w:lang w:val="bs-Latn-BA"/>
        </w:rPr>
        <w:t>S druge strane u oblasti prehrambene proizvodnje, prema pokazateljima ostvarene dobiti najznačajnija je oblast proizvodnje mliječnih proizvoda dok je prema pokazateljima prihoda od izvoza najznačajnija oblast ostalih prehrambenih proizvoda odnosno preduzeće Eurovip doo Čitluk koji se bavi proizvodnjom i prodajom kafe (Cafe Brazil).</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Područje </w:t>
      </w:r>
      <w:r w:rsidRPr="006C69B9">
        <w:rPr>
          <w:rFonts w:ascii="Calibri" w:eastAsia="Calibri" w:hAnsi="Calibri" w:cs="Times New Roman"/>
          <w:b/>
          <w:i/>
          <w:lang w:val="bs-Latn-BA"/>
        </w:rPr>
        <w:t>Proizvodnja i snabdijevanje električnom energijom. plinom. parom i klimatizacijaa</w:t>
      </w:r>
      <w:r w:rsidRPr="006C69B9">
        <w:rPr>
          <w:rFonts w:ascii="Calibri" w:eastAsia="Calibri" w:hAnsi="Calibri" w:cs="Times New Roman"/>
          <w:lang w:val="bs-Latn-BA"/>
        </w:rPr>
        <w:t xml:space="preserve"> bilježi kontinuiran rast iznosa pokazatelja uspješnosti poslovanja od 2017. godine izuzev ukupne dobiti. U 2019. godini u 53 preduzeća koja su registrovana za ovu djelatnost zaposleno je ukupno 2.277 osoba. a prosječan broj zaposlenih u ovim preduzećima iznosi 43. </w:t>
      </w:r>
    </w:p>
    <w:p w:rsidR="006C69B9" w:rsidRPr="006C69B9" w:rsidRDefault="006C69B9" w:rsidP="006C69B9">
      <w:pPr>
        <w:spacing w:after="0"/>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24</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Osnovni pokazatelji  preduzeća iz djelatnosti Proizvodnja i snabdijevanje električnom energijom. plinom. parom i klimatizacijaHercegovačko-neretvanskog kantona u periodu 2017. - 2019. godina</w:t>
      </w:r>
    </w:p>
    <w:tbl>
      <w:tblPr>
        <w:tblStyle w:val="MediumGrid3-Accent51"/>
        <w:tblW w:w="9072" w:type="dxa"/>
        <w:jc w:val="center"/>
        <w:tblLayout w:type="fixed"/>
        <w:tblLook w:val="06A0"/>
      </w:tblPr>
      <w:tblGrid>
        <w:gridCol w:w="4311"/>
        <w:gridCol w:w="1587"/>
        <w:gridCol w:w="1587"/>
        <w:gridCol w:w="1587"/>
      </w:tblGrid>
      <w:tr w:rsidR="00F85905" w:rsidRPr="006C69B9" w:rsidTr="006C69B9">
        <w:trPr>
          <w:cnfStyle w:val="100000000000"/>
          <w:trHeight w:val="40"/>
          <w:jc w:val="center"/>
        </w:trPr>
        <w:tc>
          <w:tcPr>
            <w:cnfStyle w:val="001000000000"/>
            <w:tcW w:w="4311"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Pokazatelji</w:t>
            </w:r>
          </w:p>
        </w:tc>
        <w:tc>
          <w:tcPr>
            <w:tcW w:w="1587"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587"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587"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r>
      <w:tr w:rsidR="00F85905" w:rsidRPr="006C69B9" w:rsidTr="006C69B9">
        <w:trPr>
          <w:trHeight w:val="40"/>
          <w:jc w:val="center"/>
        </w:trPr>
        <w:tc>
          <w:tcPr>
            <w:cnfStyle w:val="001000000000"/>
            <w:tcW w:w="4311"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preduzeća</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49</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55</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w:t>
            </w:r>
          </w:p>
        </w:tc>
      </w:tr>
      <w:tr w:rsidR="00F85905" w:rsidRPr="006C69B9" w:rsidTr="006C69B9">
        <w:trPr>
          <w:trHeight w:val="40"/>
          <w:jc w:val="center"/>
        </w:trPr>
        <w:tc>
          <w:tcPr>
            <w:cnfStyle w:val="001000000000"/>
            <w:tcW w:w="4311"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broj zaposlenih</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2.221</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2.251</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2.277</w:t>
            </w:r>
          </w:p>
        </w:tc>
      </w:tr>
      <w:tr w:rsidR="00F85905" w:rsidRPr="006C69B9" w:rsidTr="006C69B9">
        <w:trPr>
          <w:trHeight w:val="40"/>
          <w:jc w:val="center"/>
        </w:trPr>
        <w:tc>
          <w:tcPr>
            <w:cnfStyle w:val="001000000000"/>
            <w:tcW w:w="4311"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Prosječan broj zaposlenih</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45</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43</w:t>
            </w:r>
          </w:p>
        </w:tc>
      </w:tr>
      <w:tr w:rsidR="00F85905" w:rsidRPr="006C69B9" w:rsidTr="006C69B9">
        <w:trPr>
          <w:trHeight w:val="40"/>
          <w:jc w:val="center"/>
        </w:trPr>
        <w:tc>
          <w:tcPr>
            <w:cnfStyle w:val="001000000000"/>
            <w:tcW w:w="4311"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prihod od prodaje (KM)</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385.140.673</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713.029.729</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604.372.970</w:t>
            </w:r>
          </w:p>
        </w:tc>
      </w:tr>
      <w:tr w:rsidR="00F85905" w:rsidRPr="006C69B9" w:rsidTr="006C69B9">
        <w:trPr>
          <w:trHeight w:val="40"/>
          <w:jc w:val="center"/>
        </w:trPr>
        <w:tc>
          <w:tcPr>
            <w:cnfStyle w:val="001000000000"/>
            <w:tcW w:w="4311"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Prihod od izvoza</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12.596.198</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26.619.815</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48.129.379</w:t>
            </w:r>
          </w:p>
        </w:tc>
      </w:tr>
      <w:tr w:rsidR="00F85905" w:rsidRPr="006C69B9" w:rsidTr="006C69B9">
        <w:trPr>
          <w:trHeight w:val="40"/>
          <w:jc w:val="center"/>
        </w:trPr>
        <w:tc>
          <w:tcPr>
            <w:cnfStyle w:val="001000000000"/>
            <w:tcW w:w="4311"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Ukupna dobit (KM)</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2.377.427</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23.193.404</w:t>
            </w:r>
          </w:p>
        </w:tc>
        <w:tc>
          <w:tcPr>
            <w:tcW w:w="1587" w:type="dxa"/>
          </w:tcPr>
          <w:p w:rsidR="006C69B9" w:rsidRPr="006C69B9" w:rsidRDefault="006C69B9" w:rsidP="006C69B9">
            <w:pPr>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3.974.342</w:t>
            </w:r>
          </w:p>
        </w:tc>
      </w:tr>
    </w:tbl>
    <w:p w:rsidR="006C69B9" w:rsidRPr="006C69B9" w:rsidRDefault="006C69B9" w:rsidP="006C69B9">
      <w:pPr>
        <w:spacing w:after="0"/>
        <w:jc w:val="both"/>
        <w:rPr>
          <w:rFonts w:ascii="Calibri" w:eastAsia="Calibri" w:hAnsi="Calibri" w:cs="Times New Roman"/>
          <w:i/>
          <w:sz w:val="20"/>
          <w:szCs w:val="20"/>
          <w:lang w:val="bs-Latn-BA"/>
        </w:rPr>
      </w:pPr>
      <w:r w:rsidRPr="006C69B9">
        <w:rPr>
          <w:rFonts w:ascii="Calibri" w:eastAsia="Calibri" w:hAnsi="Calibri" w:cs="Times New Roman"/>
          <w:b/>
          <w:i/>
          <w:sz w:val="16"/>
          <w:szCs w:val="16"/>
          <w:lang w:val="bs-Latn-BA"/>
        </w:rPr>
        <w:t>Izvor: TRON baza podataka zasnovana na predatim finansijskim izvještajima pravnih lica u FIA (FBiH)</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14" w:name="_heading=h.2s8eyo1" w:colFirst="0" w:colLast="0"/>
      <w:bookmarkStart w:id="15" w:name="_Toc57573207"/>
      <w:bookmarkEnd w:id="14"/>
      <w:r w:rsidRPr="006C69B9">
        <w:rPr>
          <w:rFonts w:ascii="Calibri" w:eastAsia="Calibri" w:hAnsi="Calibri" w:cs="Times New Roman"/>
          <w:b/>
          <w:bCs/>
          <w:color w:val="4BACC6"/>
          <w:szCs w:val="26"/>
          <w:lang w:val="bs-Latn-BA" w:eastAsia="hr-HR"/>
        </w:rPr>
        <w:t>Stanje poduzetničke infrastrukture na području Hercegovačko-neretvanskog kantona</w:t>
      </w:r>
      <w:bookmarkEnd w:id="15"/>
      <w:r w:rsidRPr="006C69B9">
        <w:rPr>
          <w:rFonts w:ascii="Calibri" w:eastAsia="Calibri" w:hAnsi="Calibri" w:cs="Times New Roman"/>
          <w:b/>
          <w:bCs/>
          <w:color w:val="4BACC6"/>
          <w:szCs w:val="26"/>
          <w:lang w:val="bs-Latn-BA" w:eastAsia="hr-HR"/>
        </w:rPr>
        <w:t xml:space="preserve"> </w:t>
      </w:r>
    </w:p>
    <w:p w:rsidR="006C69B9" w:rsidRPr="006C69B9" w:rsidRDefault="006C69B9" w:rsidP="006C69B9">
      <w:pPr>
        <w:rPr>
          <w:rFonts w:ascii="Calibri" w:eastAsia="Calibri" w:hAnsi="Calibri" w:cs="Times New Roman"/>
          <w:highlight w:val="yellow"/>
          <w:lang w:val="bs-Latn-BA"/>
        </w:rPr>
      </w:pPr>
    </w:p>
    <w:p w:rsidR="006C69B9" w:rsidRPr="006C69B9" w:rsidRDefault="006C69B9" w:rsidP="006C69B9">
      <w:pPr>
        <w:rPr>
          <w:rFonts w:ascii="Calibri" w:eastAsia="Calibri" w:hAnsi="Calibri" w:cs="Times New Roman"/>
          <w:b/>
          <w:color w:val="FF0000"/>
          <w:lang w:val="bs-Latn-BA"/>
        </w:rPr>
      </w:pPr>
      <w:r w:rsidRPr="006C69B9">
        <w:rPr>
          <w:rFonts w:ascii="Calibri" w:eastAsia="Calibri" w:hAnsi="Calibri" w:cs="Times New Roman"/>
          <w:b/>
          <w:color w:val="FF0000"/>
          <w:highlight w:val="yellow"/>
          <w:lang w:val="bs-Latn-BA"/>
        </w:rPr>
        <w:t xml:space="preserve">Potrebni podaci- </w:t>
      </w:r>
    </w:p>
    <w:p w:rsidR="006C69B9" w:rsidRPr="006C69B9" w:rsidRDefault="006C69B9" w:rsidP="006C69B9">
      <w:pPr>
        <w:rPr>
          <w:rFonts w:ascii="Calibri" w:eastAsia="Calibri" w:hAnsi="Calibri" w:cs="Times New Roman"/>
          <w:lang w:val="bs-Latn-BA"/>
        </w:rPr>
      </w:pPr>
      <w:r w:rsidRPr="006C69B9">
        <w:rPr>
          <w:rFonts w:ascii="Calibri" w:eastAsia="Calibri" w:hAnsi="Calibri" w:cs="Times New Roman"/>
          <w:lang w:val="bs-Latn-BA"/>
        </w:rPr>
        <w:t>:::::::::::::::::::::::::::::::::::::::::::::::::::::::::::::::::::::::::::::::::::::::::::::::::::::::::::::::::::::::::::</w:t>
      </w:r>
    </w:p>
    <w:p w:rsidR="006C69B9" w:rsidRPr="006C69B9" w:rsidRDefault="006C69B9" w:rsidP="00F85905">
      <w:pPr>
        <w:keepNext/>
        <w:numPr>
          <w:ilvl w:val="1"/>
          <w:numId w:val="22"/>
        </w:numPr>
        <w:spacing w:before="240" w:after="60" w:line="240" w:lineRule="auto"/>
        <w:outlineLvl w:val="1"/>
        <w:rPr>
          <w:rFonts w:ascii="Calibri" w:eastAsia="Calibri" w:hAnsi="Calibri" w:cs="Times New Roman"/>
          <w:b/>
          <w:bCs/>
          <w:iCs/>
          <w:color w:val="31849B"/>
          <w:sz w:val="24"/>
          <w:szCs w:val="28"/>
          <w:lang w:eastAsia="hr-HR"/>
        </w:rPr>
      </w:pPr>
      <w:bookmarkStart w:id="16" w:name="_Toc57573208"/>
      <w:r w:rsidRPr="006C69B9">
        <w:rPr>
          <w:rFonts w:ascii="Calibri" w:eastAsia="Calibri" w:hAnsi="Calibri" w:cs="Times New Roman"/>
          <w:b/>
          <w:bCs/>
          <w:iCs/>
          <w:color w:val="31849B"/>
          <w:sz w:val="24"/>
          <w:szCs w:val="28"/>
          <w:lang w:eastAsia="hr-HR"/>
        </w:rPr>
        <w:t>Poljoprivreda</w:t>
      </w:r>
      <w:bookmarkEnd w:id="16"/>
      <w:r w:rsidRPr="006C69B9">
        <w:rPr>
          <w:rFonts w:ascii="Calibri" w:eastAsia="Calibri" w:hAnsi="Calibri" w:cs="Times New Roman"/>
          <w:b/>
          <w:bCs/>
          <w:iCs/>
          <w:color w:val="31849B"/>
          <w:sz w:val="24"/>
          <w:szCs w:val="28"/>
          <w:lang w:eastAsia="hr-HR"/>
        </w:rPr>
        <w:t xml:space="preserve"> </w:t>
      </w:r>
      <w:bookmarkStart w:id="17" w:name="bookmark=id.3rdcrjn" w:colFirst="0" w:colLast="0"/>
      <w:bookmarkEnd w:id="17"/>
      <w:r w:rsidRPr="006C69B9">
        <w:rPr>
          <w:rFonts w:ascii="Calibri" w:eastAsia="Calibri" w:hAnsi="Calibri" w:cs="Times New Roman"/>
          <w:b/>
          <w:bCs/>
          <w:iCs/>
          <w:color w:val="31849B"/>
          <w:sz w:val="24"/>
          <w:szCs w:val="28"/>
          <w:lang w:eastAsia="hr-HR"/>
        </w:rPr>
        <w:br/>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Poljoprivredno zemljište je temeljni čimbenik poljoprivredne proizvodnje (nezamjenjiv, neistrošiv i neprenosiv) čimbenik poljoprivrede, što predstavlja obvezu odgovornog i racionalnog korištenja. Ukupna površina HNŽ/K iznosi 440 tisuća ha i druga je najveća administrativna jedinica u FBiH.</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 xml:space="preserve">Ukupna površina poljoprivrednog zemljišta na području Hercegovačko-neretvanske županije/kantona iznosi 222.851 ha (50,64%). Po izuzetno povoljnim agroekološkim svojstvima i proizvodnim površinama u kojima na obradivo zemljište otpada </w:t>
      </w:r>
      <w:r w:rsidRPr="006C69B9">
        <w:rPr>
          <w:rFonts w:ascii="Calibri" w:eastAsia="Calibri" w:hAnsi="Calibri" w:cs="Calibri"/>
          <w:b/>
          <w:lang w:val="bs-Latn-BA"/>
        </w:rPr>
        <w:t>73.887</w:t>
      </w:r>
      <w:r w:rsidRPr="006C69B9">
        <w:rPr>
          <w:rFonts w:ascii="Calibri" w:eastAsia="Calibri" w:hAnsi="Calibri" w:cs="Calibri"/>
          <w:lang w:val="bs-Latn-BA"/>
        </w:rPr>
        <w:t xml:space="preserve"> hektara ili </w:t>
      </w:r>
      <w:r w:rsidRPr="006C69B9">
        <w:rPr>
          <w:rFonts w:ascii="Calibri" w:eastAsia="Calibri" w:hAnsi="Calibri" w:cs="Calibri"/>
          <w:b/>
          <w:lang w:val="bs-Latn-BA"/>
        </w:rPr>
        <w:t xml:space="preserve">33,16 %, </w:t>
      </w:r>
      <w:r w:rsidRPr="006C69B9">
        <w:rPr>
          <w:rFonts w:ascii="Calibri" w:eastAsia="Calibri" w:hAnsi="Calibri" w:cs="Calibri"/>
          <w:lang w:val="bs-Latn-BA"/>
        </w:rPr>
        <w:t xml:space="preserve">HNŽ/K predstavlja jedan respektabilno snažan potencijal za poljoprivredni razvitak. Ipak, njen daleko veći poljoprivredni zemljišni ostatak od </w:t>
      </w:r>
      <w:r w:rsidRPr="006C69B9">
        <w:rPr>
          <w:rFonts w:ascii="Calibri" w:eastAsia="Calibri" w:hAnsi="Calibri" w:cs="Calibri"/>
          <w:b/>
          <w:lang w:val="bs-Latn-BA"/>
        </w:rPr>
        <w:t>146.524</w:t>
      </w:r>
      <w:r w:rsidRPr="006C69B9">
        <w:rPr>
          <w:rFonts w:ascii="Calibri" w:eastAsia="Calibri" w:hAnsi="Calibri" w:cs="Calibri"/>
          <w:lang w:val="bs-Latn-BA"/>
        </w:rPr>
        <w:t xml:space="preserve"> hektara otpada na </w:t>
      </w:r>
      <w:r w:rsidRPr="006C69B9">
        <w:rPr>
          <w:rFonts w:ascii="Calibri" w:eastAsia="Calibri" w:hAnsi="Calibri" w:cs="Calibri"/>
          <w:b/>
          <w:lang w:val="bs-Latn-BA"/>
        </w:rPr>
        <w:t xml:space="preserve">pašnjake. </w:t>
      </w:r>
      <w:r w:rsidRPr="006C69B9">
        <w:rPr>
          <w:rFonts w:ascii="Calibri" w:eastAsia="Calibri" w:hAnsi="Calibri" w:cs="Calibri"/>
          <w:lang w:val="bs-Latn-BA"/>
        </w:rPr>
        <w:t xml:space="preserve">Uz poznate skromne karakteristike tla, značajan ograničavajući čimbenik pašnjačkog pa i livadskog prostora Županije stoji u činjenici da se veliki dio tih površina nalazi </w:t>
      </w:r>
      <w:r w:rsidRPr="006C69B9">
        <w:rPr>
          <w:rFonts w:ascii="Calibri" w:eastAsia="Calibri" w:hAnsi="Calibri" w:cs="Calibri"/>
          <w:b/>
          <w:lang w:val="bs-Latn-BA"/>
        </w:rPr>
        <w:t>na nagibima koji su veći od 8</w:t>
      </w:r>
      <w:r w:rsidRPr="006C69B9">
        <w:rPr>
          <w:rFonts w:ascii="Calibri" w:eastAsia="Calibri" w:hAnsi="Calibri" w:cs="Calibri"/>
          <w:lang w:val="bs-Latn-BA"/>
        </w:rPr>
        <w:t>, što sprječava učinkovitiju obradu tla i ograničava izbor načina njegovog korištenja.</w:t>
      </w:r>
      <w:r w:rsidRPr="006C69B9">
        <w:rPr>
          <w:rFonts w:ascii="Calibri" w:eastAsia="Calibri" w:hAnsi="Calibri" w:cs="Calibri"/>
          <w:vertAlign w:val="superscript"/>
          <w:lang w:val="bs-Latn-BA"/>
        </w:rPr>
        <w:footnoteReference w:id="1"/>
      </w:r>
      <w:r w:rsidRPr="006C69B9">
        <w:rPr>
          <w:rFonts w:ascii="Calibri" w:eastAsia="Calibri" w:hAnsi="Calibri" w:cs="Calibri"/>
          <w:lang w:val="bs-Latn-BA"/>
        </w:rPr>
        <w:t xml:space="preserve"> </w:t>
      </w:r>
      <w:r w:rsidRPr="006C69B9">
        <w:rPr>
          <w:rFonts w:ascii="Calibri" w:eastAsia="Calibri" w:hAnsi="Calibri" w:cs="Calibri"/>
          <w:b/>
          <w:lang w:val="bs-Latn-BA"/>
        </w:rPr>
        <w:t>Na šume otpada 185.925 ha ili 42,25% i ostalog zemljišta cca 31.324 ha ili 7,12 %</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lastRenderedPageBreak/>
        <w:t>Katastarski registriranog privatnog poljoprivrednog zemljišta na području Županije ima oko 134,085 hektara, što mu u ukupnom poljoprivrednom zemljišnom fondu daje primjetno nizak udio od oko 60% kakav je uglavnom primjeren za brdske i planinske prostore u kojima prednjače pašnjaci nad obradivim i pogotovo oraničnim površinama</w:t>
      </w: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 xml:space="preserve">Poznavanje zemljišnih resursa veoma bitan je preduvjet za planiranje njegovog racionalnog i optimalnog korištenja. U skladu sa Zakonom o poljoprivrednom zemljištu (Sl. novine FBiH 52/09) namjena zemljišta u planovima prostornog uređenja utvrđuje na temelju karte uporabne vrijednosti zemljišta i to: </w:t>
      </w:r>
    </w:p>
    <w:p w:rsidR="006C69B9" w:rsidRPr="006C69B9" w:rsidRDefault="006C69B9" w:rsidP="00F85905">
      <w:pPr>
        <w:numPr>
          <w:ilvl w:val="0"/>
          <w:numId w:val="5"/>
        </w:numPr>
        <w:pBdr>
          <w:top w:val="nil"/>
          <w:left w:val="nil"/>
          <w:bottom w:val="nil"/>
          <w:right w:val="nil"/>
          <w:between w:val="nil"/>
        </w:pBdr>
        <w:spacing w:after="0" w:line="240" w:lineRule="auto"/>
        <w:jc w:val="both"/>
        <w:rPr>
          <w:rFonts w:ascii="Calibri" w:eastAsia="Calibri" w:hAnsi="Calibri" w:cs="Calibri"/>
          <w:lang w:val="bs-Latn-BA"/>
        </w:rPr>
      </w:pPr>
      <w:r w:rsidRPr="006C69B9">
        <w:rPr>
          <w:rFonts w:ascii="Calibri" w:eastAsia="Calibri" w:hAnsi="Calibri" w:cs="Calibri"/>
          <w:lang w:val="bs-Latn-BA"/>
        </w:rPr>
        <w:t>zemljišta od 1. do 4. bonitetne kategorije, utvrđuju se isključivo kao poljoprivredno odnosno šumsko zemljište;</w:t>
      </w:r>
    </w:p>
    <w:p w:rsidR="006C69B9" w:rsidRPr="006C69B9" w:rsidRDefault="006C69B9" w:rsidP="00F85905">
      <w:pPr>
        <w:numPr>
          <w:ilvl w:val="0"/>
          <w:numId w:val="5"/>
        </w:numPr>
        <w:pBdr>
          <w:top w:val="nil"/>
          <w:left w:val="nil"/>
          <w:bottom w:val="nil"/>
          <w:right w:val="nil"/>
          <w:between w:val="nil"/>
        </w:pBdr>
        <w:spacing w:after="0" w:line="240" w:lineRule="auto"/>
        <w:jc w:val="both"/>
        <w:rPr>
          <w:rFonts w:ascii="Calibri" w:eastAsia="Calibri" w:hAnsi="Calibri" w:cs="Calibri"/>
          <w:lang w:val="bs-Latn-BA"/>
        </w:rPr>
      </w:pPr>
      <w:r w:rsidRPr="006C69B9">
        <w:rPr>
          <w:rFonts w:ascii="Calibri" w:eastAsia="Calibri" w:hAnsi="Calibri" w:cs="Calibri"/>
          <w:lang w:val="bs-Latn-BA"/>
        </w:rPr>
        <w:t>zemljište od 5. do 6. bonitetne kategorije utvrđuje se kao poljoprivredno, šumsko i izuzetno kao zemljište za ostale namjene;</w:t>
      </w:r>
    </w:p>
    <w:p w:rsidR="006C69B9" w:rsidRPr="006C69B9" w:rsidRDefault="006C69B9" w:rsidP="00F85905">
      <w:pPr>
        <w:numPr>
          <w:ilvl w:val="0"/>
          <w:numId w:val="5"/>
        </w:numPr>
        <w:pBdr>
          <w:top w:val="nil"/>
          <w:left w:val="nil"/>
          <w:bottom w:val="nil"/>
          <w:right w:val="nil"/>
          <w:between w:val="nil"/>
        </w:pBdr>
        <w:spacing w:after="0" w:line="240" w:lineRule="auto"/>
        <w:jc w:val="both"/>
        <w:rPr>
          <w:rFonts w:ascii="Calibri" w:eastAsia="Calibri" w:hAnsi="Calibri" w:cs="Calibri"/>
          <w:lang w:val="bs-Latn-BA"/>
        </w:rPr>
      </w:pPr>
      <w:r w:rsidRPr="006C69B9">
        <w:rPr>
          <w:rFonts w:ascii="Calibri" w:eastAsia="Calibri" w:hAnsi="Calibri" w:cs="Calibri"/>
          <w:lang w:val="bs-Latn-BA"/>
        </w:rPr>
        <w:t xml:space="preserve">zemljište od 7. do 8. bonitetne kategorije utvrđuje se kao zemljište koje će se prema potrebama koristiti i za druge namjene. </w:t>
      </w:r>
    </w:p>
    <w:p w:rsidR="006C69B9" w:rsidRPr="006C69B9" w:rsidRDefault="006C69B9" w:rsidP="006C69B9">
      <w:pPr>
        <w:spacing w:after="0" w:line="360" w:lineRule="auto"/>
        <w:jc w:val="center"/>
        <w:rPr>
          <w:rFonts w:ascii="Calibri" w:eastAsia="Calibri" w:hAnsi="Calibri" w:cs="Times New Roman"/>
          <w:sz w:val="24"/>
          <w:szCs w:val="24"/>
          <w:lang w:val="bs-Latn-BA"/>
        </w:rPr>
      </w:pPr>
      <w:r w:rsidRPr="006C69B9">
        <w:rPr>
          <w:rFonts w:ascii="Calibri" w:eastAsia="Calibri" w:hAnsi="Calibri" w:cs="Times New Roman"/>
          <w:noProof/>
          <w:sz w:val="24"/>
          <w:szCs w:val="24"/>
          <w:lang w:eastAsia="hr-HR"/>
        </w:rPr>
        <w:drawing>
          <wp:inline distT="0" distB="0" distL="0" distR="0">
            <wp:extent cx="2328530" cy="2296632"/>
            <wp:effectExtent l="1905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l="28755" t="15790" r="30379" b="5559"/>
                    <a:stretch>
                      <a:fillRect/>
                    </a:stretch>
                  </pic:blipFill>
                  <pic:spPr>
                    <a:xfrm>
                      <a:off x="0" y="0"/>
                      <a:ext cx="2328530" cy="2296632"/>
                    </a:xfrm>
                    <a:prstGeom prst="rect">
                      <a:avLst/>
                    </a:prstGeom>
                    <a:ln/>
                  </pic:spPr>
                </pic:pic>
              </a:graphicData>
            </a:graphic>
          </wp:inline>
        </w:drawing>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Slika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Slika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5</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Karta uporabne vrijednosti zemljišta HNŽ/K , Izvor: Strategija poljoprivrednog razvitka i razvitka poljoprivrede u ruralnim područjima HNŽ/K (2012. – 2017. god.), str. 109., Mostar, 2012. god.</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Koncem 2008. godine Vlada Hercegovačko-neretvanske županije/kantona odnosno njezino Ministarstvo poljoprivrede, šumarstva i vodoprivrede sagledalo je potrebu izrade karte uporabne vrijednosti zemljišta, te je naručilo projekt „ Karta upotrebne vrijednosti zemljišta na području Hercegovačko-neretvanske županije/kantona, u mjerilu 1:25 000“ (Slika 2.).</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Kao što se da vidjeti iz Tabele 25., u Hercegovačko-neretvanskoj županiji/kantonu ne postoji poljoprivredno zemljište I. bonitetne klase i da je svega 2.256,85 ha zemljišta (1,11%) II. bonitetne klase. Zemljišta III. bonitetne kategorije je također vrlo malo (6.613,38 ha ili 3,12 %). Isto tako zemljište Iva. I IV b. bonitetne klase zauzimaju 12.331,24 ha ili 5,96%). S aspekta zakonske zaštite poljoprivrednoga zemljišta od 1. do 4. bonitetne klase , a kojega u HN županiji ima samo 21.230,48 ha ili svega 10,28%  može se zaključiti da, zbog prirodno oskudnog kvalitetnog zemljišnog fonda na području HNŽ/K posebnu pozornost treba posvetiti racionalnom korištenju, čuvanju i zaštiti  poljoprivrednoga zemljišta. Naime, ne smije se dozvoliti daljnji gubitak kvalitetnog poljoprivrednog zemljišta jer je ispravljanje takvih grešaka u budućnosti otežano ili praktično nemoguće.</w:t>
      </w:r>
    </w:p>
    <w:p w:rsidR="006C69B9" w:rsidRPr="006C69B9" w:rsidRDefault="006C69B9" w:rsidP="006C69B9">
      <w:pPr>
        <w:keepNext/>
        <w:spacing w:after="80" w:line="240" w:lineRule="auto"/>
        <w:jc w:val="center"/>
        <w:rPr>
          <w:rFonts w:ascii="Calibri" w:eastAsia="Calibri" w:hAnsi="Calibri" w:cs="Calibri"/>
          <w:bCs/>
          <w:i/>
          <w:color w:val="31849B"/>
          <w:sz w:val="20"/>
          <w:szCs w:val="20"/>
        </w:rPr>
      </w:pPr>
      <w:r w:rsidRPr="006C69B9">
        <w:rPr>
          <w:rFonts w:ascii="Calibri" w:eastAsia="Calibri" w:hAnsi="Calibri" w:cs="Calibri Light"/>
          <w:bCs/>
          <w:i/>
          <w:color w:val="31849B"/>
          <w:sz w:val="24"/>
          <w:szCs w:val="24"/>
        </w:rPr>
        <w:br/>
      </w: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25</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w:t>
      </w:r>
      <w:r w:rsidRPr="006C69B9">
        <w:rPr>
          <w:rFonts w:ascii="Calibri" w:eastAsia="Calibri" w:hAnsi="Calibri" w:cs="Calibri"/>
          <w:bCs/>
          <w:i/>
          <w:color w:val="31849B"/>
          <w:sz w:val="20"/>
          <w:szCs w:val="20"/>
        </w:rPr>
        <w:t>Bonitetne klase zemljišta u HNŽ/K</w:t>
      </w:r>
    </w:p>
    <w:tbl>
      <w:tblPr>
        <w:tblStyle w:val="MediumGrid3-Accent51"/>
        <w:tblW w:w="9778" w:type="dxa"/>
        <w:tblLayout w:type="fixed"/>
        <w:tblLook w:val="06A0"/>
      </w:tblPr>
      <w:tblGrid>
        <w:gridCol w:w="977"/>
        <w:gridCol w:w="978"/>
        <w:gridCol w:w="978"/>
        <w:gridCol w:w="978"/>
        <w:gridCol w:w="978"/>
        <w:gridCol w:w="977"/>
        <w:gridCol w:w="978"/>
        <w:gridCol w:w="978"/>
        <w:gridCol w:w="978"/>
        <w:gridCol w:w="978"/>
      </w:tblGrid>
      <w:tr w:rsidR="00F85905" w:rsidRPr="006C69B9" w:rsidTr="006C69B9">
        <w:trPr>
          <w:cnfStyle w:val="100000000000"/>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 </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I</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II</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III</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IV a</w:t>
            </w:r>
          </w:p>
        </w:tc>
        <w:tc>
          <w:tcPr>
            <w:tcW w:w="977"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IV. b</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V</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VI</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VII</w:t>
            </w:r>
          </w:p>
        </w:tc>
        <w:tc>
          <w:tcPr>
            <w:tcW w:w="978" w:type="dxa"/>
          </w:tcPr>
          <w:p w:rsidR="006C69B9" w:rsidRPr="006C69B9" w:rsidRDefault="006C69B9" w:rsidP="006C69B9">
            <w:pPr>
              <w:contextualSpacing/>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SVEGA:</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Čapljina</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1.655,30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1.448,26</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379,51</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784,12</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1.239,50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1.388,24</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8.587,78</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15.482,71</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lastRenderedPageBreak/>
              <w:t>Čitluk</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2.045,97</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40,46</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1.981,98</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526,36</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178,55</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2.951,44</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7.724,76</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Jablanica</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72,64</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218,05</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263,34</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651,16</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325,37</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10.126,73</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11.657,29</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Konjic</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256,28</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1.779,81</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6.707,14</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9.183,90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35.151,48</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53.078,61</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Grad Mostar</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701,37</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1.109,37</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2.162,97</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3.347,73</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22.881,83</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30.539,73</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60.743,00</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Neum</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400,38</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123,84</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512,85</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804,60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6.693,99</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8.535,66</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Prozor/Rama</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1.206,27</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1.509,54</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4.736,01</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17.315,92</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24.767,74</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Ravno</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630,56</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1.306,56</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59,67</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665,66</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971,46</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7.924,70</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11.558,61</w:t>
            </w:r>
          </w:p>
        </w:tc>
      </w:tr>
      <w:tr w:rsidR="00F85905" w:rsidRPr="006C69B9" w:rsidTr="006C69B9">
        <w:trPr>
          <w:trHeight w:val="315"/>
        </w:trPr>
        <w:tc>
          <w:tcPr>
            <w:cnfStyle w:val="001000000000"/>
            <w:tcW w:w="977" w:type="dxa"/>
          </w:tcPr>
          <w:p w:rsidR="006C69B9" w:rsidRPr="006C69B9" w:rsidRDefault="006C69B9" w:rsidP="006C69B9">
            <w:pPr>
              <w:contextualSpacing/>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Stolac</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381,92</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0,00</w:t>
            </w:r>
          </w:p>
        </w:tc>
        <w:tc>
          <w:tcPr>
            <w:tcW w:w="977"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2.221,85</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1.388,70</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6.084,21</w:t>
            </w:r>
          </w:p>
        </w:tc>
        <w:tc>
          <w:tcPr>
            <w:tcW w:w="978" w:type="dxa"/>
          </w:tcPr>
          <w:p w:rsidR="006C69B9" w:rsidRPr="006C69B9" w:rsidRDefault="006C69B9" w:rsidP="006C69B9">
            <w:pPr>
              <w:contextualSpacing/>
              <w:jc w:val="both"/>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3.189,44</w:t>
            </w:r>
          </w:p>
        </w:tc>
        <w:tc>
          <w:tcPr>
            <w:tcW w:w="978" w:type="dxa"/>
            <w:shd w:val="clear" w:color="auto" w:fill="4BACC6"/>
          </w:tcPr>
          <w:p w:rsidR="006C69B9" w:rsidRPr="006C69B9" w:rsidRDefault="006C69B9" w:rsidP="006C69B9">
            <w:pPr>
              <w:contextualSpacing/>
              <w:jc w:val="both"/>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13.266,12</w:t>
            </w:r>
          </w:p>
        </w:tc>
      </w:tr>
      <w:tr w:rsidR="00F85905" w:rsidRPr="006C69B9" w:rsidTr="006C69B9">
        <w:trPr>
          <w:trHeight w:val="315"/>
        </w:trPr>
        <w:tc>
          <w:tcPr>
            <w:cnfStyle w:val="001000000000"/>
            <w:tcW w:w="977" w:type="dxa"/>
            <w:vAlign w:val="center"/>
          </w:tcPr>
          <w:p w:rsidR="006C69B9" w:rsidRPr="006C69B9" w:rsidRDefault="006C69B9" w:rsidP="006C69B9">
            <w:pPr>
              <w:contextualSpacing/>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TOTAL</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0,00</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2.285,86</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6.613,38</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1.747,39</w:t>
            </w:r>
          </w:p>
        </w:tc>
        <w:tc>
          <w:tcPr>
            <w:tcW w:w="977"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10.583,85</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16.548,64</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46.554,17</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122.481,21</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206.814,50</w:t>
            </w:r>
          </w:p>
        </w:tc>
      </w:tr>
      <w:tr w:rsidR="00F85905" w:rsidRPr="006C69B9" w:rsidTr="006C69B9">
        <w:trPr>
          <w:trHeight w:val="563"/>
        </w:trPr>
        <w:tc>
          <w:tcPr>
            <w:cnfStyle w:val="001000000000"/>
            <w:tcW w:w="977" w:type="dxa"/>
            <w:vAlign w:val="center"/>
          </w:tcPr>
          <w:p w:rsidR="006C69B9" w:rsidRPr="006C69B9" w:rsidRDefault="006C69B9" w:rsidP="006C69B9">
            <w:pPr>
              <w:contextualSpacing/>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Postotak (%)</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0,00%</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1,11%</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3,20%</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0,84%</w:t>
            </w:r>
          </w:p>
        </w:tc>
        <w:tc>
          <w:tcPr>
            <w:tcW w:w="977"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5,12%</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8,00%</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22,51%</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59,22%</w:t>
            </w:r>
          </w:p>
        </w:tc>
        <w:tc>
          <w:tcPr>
            <w:tcW w:w="978" w:type="dxa"/>
            <w:shd w:val="clear" w:color="auto" w:fill="4BACC6"/>
            <w:vAlign w:val="center"/>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100,00%</w:t>
            </w:r>
          </w:p>
        </w:tc>
      </w:tr>
    </w:tbl>
    <w:p w:rsidR="006C69B9" w:rsidRPr="006C69B9" w:rsidRDefault="006C69B9" w:rsidP="006C69B9">
      <w:pPr>
        <w:spacing w:after="0"/>
        <w:jc w:val="both"/>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Strategija poljoprivrednog razvitka i razvitka poljoprivrede u ruralnim područjima HNŽ/K (2012. – 2017. god.),(2012. – 2017. god.), str. 107., Mostar, 2012. god</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jc w:val="both"/>
        <w:rPr>
          <w:rFonts w:ascii="Times New Roman" w:eastAsia="Calibri" w:hAnsi="Times New Roman" w:cs="Times New Roman"/>
          <w:sz w:val="24"/>
        </w:rPr>
      </w:pPr>
      <w:r w:rsidRPr="006C69B9">
        <w:rPr>
          <w:rFonts w:ascii="Calibri" w:eastAsia="Calibri" w:hAnsi="Calibri" w:cs="Calibri"/>
          <w:lang w:val="bs-Latn-BA"/>
        </w:rPr>
        <w:t xml:space="preserve">S aspekta kvaliteta poljoprivrednog zemljišta, najviše su zastupljena zemljišta V, VI i VII bonitetne kategorije sa 89,73 %, dok je udio najkvalitetnijeg zemljišta od I-IV bonitetne kategorije samo 10,27%, što zahtijeva provođenje agrotehničkih i hidrotehničkih mjera u cilju poboljšanja proizvodnih sposobnosti zemljišta. Jedan od glavnih razloga niske i neučinkovite poljoprivredne proizvodnje, te najveći ograničavajući faktor povećanja njezine konkurentnosti je mali posjed, te dislociranost i usitnjenost parcela. </w:t>
      </w:r>
      <w:r w:rsidRPr="006C69B9">
        <w:rPr>
          <w:rFonts w:ascii="Times New Roman" w:eastAsia="Calibri" w:hAnsi="Times New Roman" w:cs="Times New Roman"/>
          <w:sz w:val="24"/>
        </w:rPr>
        <w:t>I</w:t>
      </w:r>
    </w:p>
    <w:p w:rsidR="006C69B9" w:rsidRPr="006C69B9" w:rsidRDefault="006C69B9" w:rsidP="006C69B9">
      <w:pPr>
        <w:jc w:val="both"/>
        <w:rPr>
          <w:rFonts w:ascii="Calibri" w:eastAsia="Calibri" w:hAnsi="Calibri" w:cs="Calibri"/>
        </w:rPr>
      </w:pPr>
      <w:r w:rsidRPr="006C69B9">
        <w:rPr>
          <w:rFonts w:ascii="Calibri" w:eastAsia="Calibri" w:hAnsi="Calibri" w:cs="Calibri"/>
        </w:rPr>
        <w:t>Izostanak kvalitetnih polica osiguranja, neizgrađeni sustavi mreža protiv tuče su čimbenici koji nedostaju za konkurentnu proizvodnju voća. Vremenske (ne)prilike uvelike određuju urode voća po ha. Ovome valja pridodati nedovoljno postojanje rashladnih kapaciteta (pakirnice sortirnice i hladnjače). Ukupan broj rodnih stabala voća u 2014. godini iznosi 1.655.517 ili 25,60 %.</w:t>
      </w:r>
    </w:p>
    <w:p w:rsidR="006C69B9" w:rsidRPr="006C69B9" w:rsidRDefault="006C69B9" w:rsidP="006C69B9">
      <w:pPr>
        <w:keepNext/>
        <w:spacing w:after="80" w:line="240" w:lineRule="auto"/>
        <w:jc w:val="center"/>
        <w:rPr>
          <w:rFonts w:ascii="Calibri" w:eastAsia="Calibri" w:hAnsi="Calibri" w:cs="Calibri Light"/>
          <w:b/>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26</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Tipologija obiteljskih poljoprivrednih gospodarstava (OPG-a) u HNŽ/K</w:t>
      </w:r>
    </w:p>
    <w:tbl>
      <w:tblPr>
        <w:tblStyle w:val="MediumGrid3-Accent51"/>
        <w:tblW w:w="9517" w:type="dxa"/>
        <w:tblLayout w:type="fixed"/>
        <w:tblLook w:val="06A0"/>
      </w:tblPr>
      <w:tblGrid>
        <w:gridCol w:w="2473"/>
        <w:gridCol w:w="1643"/>
        <w:gridCol w:w="1144"/>
        <w:gridCol w:w="1354"/>
        <w:gridCol w:w="1144"/>
        <w:gridCol w:w="1759"/>
      </w:tblGrid>
      <w:tr w:rsidR="00F85905" w:rsidRPr="006C69B9" w:rsidTr="006C69B9">
        <w:trPr>
          <w:cnfStyle w:val="100000000000"/>
          <w:trHeight w:val="501"/>
        </w:trPr>
        <w:tc>
          <w:tcPr>
            <w:cnfStyle w:val="001000000000"/>
            <w:tcW w:w="2473" w:type="dxa"/>
            <w:vAlign w:val="center"/>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Tipovi OPG-a po veličini</w:t>
            </w:r>
          </w:p>
        </w:tc>
        <w:tc>
          <w:tcPr>
            <w:tcW w:w="1643" w:type="dxa"/>
            <w:vAlign w:val="center"/>
          </w:tcPr>
          <w:p w:rsidR="006C69B9" w:rsidRPr="006C69B9" w:rsidRDefault="006C69B9" w:rsidP="006C69B9">
            <w:pPr>
              <w:contextualSpacing/>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Ukupan broj</w:t>
            </w:r>
          </w:p>
          <w:p w:rsidR="006C69B9" w:rsidRPr="006C69B9" w:rsidRDefault="006C69B9" w:rsidP="006C69B9">
            <w:pPr>
              <w:contextualSpacing/>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OPG-a</w:t>
            </w:r>
          </w:p>
        </w:tc>
        <w:tc>
          <w:tcPr>
            <w:tcW w:w="1144" w:type="dxa"/>
            <w:vAlign w:val="center"/>
          </w:tcPr>
          <w:p w:rsidR="006C69B9" w:rsidRPr="006C69B9" w:rsidRDefault="006C69B9" w:rsidP="006C69B9">
            <w:pPr>
              <w:contextualSpacing/>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Postotak (%)</w:t>
            </w:r>
          </w:p>
        </w:tc>
        <w:tc>
          <w:tcPr>
            <w:tcW w:w="1354" w:type="dxa"/>
            <w:vAlign w:val="center"/>
          </w:tcPr>
          <w:p w:rsidR="006C69B9" w:rsidRPr="006C69B9" w:rsidRDefault="006C69B9" w:rsidP="006C69B9">
            <w:pPr>
              <w:contextualSpacing/>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Ukupna površina OPG [ha]</w:t>
            </w:r>
          </w:p>
        </w:tc>
        <w:tc>
          <w:tcPr>
            <w:tcW w:w="1144" w:type="dxa"/>
            <w:vAlign w:val="center"/>
          </w:tcPr>
          <w:p w:rsidR="006C69B9" w:rsidRPr="006C69B9" w:rsidRDefault="006C69B9" w:rsidP="006C69B9">
            <w:pPr>
              <w:contextualSpacing/>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Postotak (%)</w:t>
            </w:r>
          </w:p>
        </w:tc>
        <w:tc>
          <w:tcPr>
            <w:tcW w:w="1759" w:type="dxa"/>
            <w:vAlign w:val="center"/>
          </w:tcPr>
          <w:p w:rsidR="006C69B9" w:rsidRPr="006C69B9" w:rsidRDefault="006C69B9" w:rsidP="006C69B9">
            <w:pPr>
              <w:contextualSpacing/>
              <w:jc w:val="center"/>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Prosječna površina po OPG-u (ha)</w:t>
            </w:r>
          </w:p>
        </w:tc>
      </w:tr>
      <w:tr w:rsidR="00F85905" w:rsidRPr="006C69B9" w:rsidTr="006C69B9">
        <w:trPr>
          <w:trHeight w:val="255"/>
        </w:trPr>
        <w:tc>
          <w:tcPr>
            <w:cnfStyle w:val="001000000000"/>
            <w:tcW w:w="2473" w:type="dxa"/>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0-1 [ha]</w:t>
            </w:r>
          </w:p>
        </w:tc>
        <w:tc>
          <w:tcPr>
            <w:tcW w:w="1643"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2.371</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65,66%</w:t>
            </w:r>
          </w:p>
        </w:tc>
        <w:tc>
          <w:tcPr>
            <w:tcW w:w="135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752,88</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13,15%</w:t>
            </w:r>
          </w:p>
        </w:tc>
        <w:tc>
          <w:tcPr>
            <w:tcW w:w="1759"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0,32</w:t>
            </w:r>
          </w:p>
        </w:tc>
      </w:tr>
      <w:tr w:rsidR="00F85905" w:rsidRPr="006C69B9" w:rsidTr="006C69B9">
        <w:trPr>
          <w:trHeight w:val="255"/>
        </w:trPr>
        <w:tc>
          <w:tcPr>
            <w:cnfStyle w:val="001000000000"/>
            <w:tcW w:w="2473" w:type="dxa"/>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1-3 [ha]</w:t>
            </w:r>
          </w:p>
        </w:tc>
        <w:tc>
          <w:tcPr>
            <w:tcW w:w="1643"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831</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23,01%</w:t>
            </w:r>
          </w:p>
        </w:tc>
        <w:tc>
          <w:tcPr>
            <w:tcW w:w="135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1.444,58</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25,24%</w:t>
            </w:r>
          </w:p>
        </w:tc>
        <w:tc>
          <w:tcPr>
            <w:tcW w:w="1759"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1,74</w:t>
            </w:r>
          </w:p>
        </w:tc>
      </w:tr>
      <w:tr w:rsidR="00F85905" w:rsidRPr="006C69B9" w:rsidTr="006C69B9">
        <w:trPr>
          <w:trHeight w:val="255"/>
        </w:trPr>
        <w:tc>
          <w:tcPr>
            <w:cnfStyle w:val="001000000000"/>
            <w:tcW w:w="2473" w:type="dxa"/>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3-5 [ha]</w:t>
            </w:r>
          </w:p>
        </w:tc>
        <w:tc>
          <w:tcPr>
            <w:tcW w:w="1643"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187</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5,18%</w:t>
            </w:r>
          </w:p>
        </w:tc>
        <w:tc>
          <w:tcPr>
            <w:tcW w:w="135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718,12</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12,55%</w:t>
            </w:r>
          </w:p>
        </w:tc>
        <w:tc>
          <w:tcPr>
            <w:tcW w:w="1759"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3,84</w:t>
            </w:r>
          </w:p>
        </w:tc>
      </w:tr>
      <w:tr w:rsidR="00F85905" w:rsidRPr="006C69B9" w:rsidTr="006C69B9">
        <w:trPr>
          <w:trHeight w:val="255"/>
        </w:trPr>
        <w:tc>
          <w:tcPr>
            <w:cnfStyle w:val="001000000000"/>
            <w:tcW w:w="2473" w:type="dxa"/>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5-10 [ha]</w:t>
            </w:r>
          </w:p>
        </w:tc>
        <w:tc>
          <w:tcPr>
            <w:tcW w:w="1643"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134</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3,71%</w:t>
            </w:r>
          </w:p>
        </w:tc>
        <w:tc>
          <w:tcPr>
            <w:tcW w:w="135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921,45</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16,10%</w:t>
            </w:r>
          </w:p>
        </w:tc>
        <w:tc>
          <w:tcPr>
            <w:tcW w:w="1759"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6,88</w:t>
            </w:r>
          </w:p>
        </w:tc>
      </w:tr>
      <w:tr w:rsidR="00F85905" w:rsidRPr="006C69B9" w:rsidTr="006C69B9">
        <w:trPr>
          <w:trHeight w:val="255"/>
        </w:trPr>
        <w:tc>
          <w:tcPr>
            <w:cnfStyle w:val="001000000000"/>
            <w:tcW w:w="2473" w:type="dxa"/>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10-50 [ha]</w:t>
            </w:r>
          </w:p>
        </w:tc>
        <w:tc>
          <w:tcPr>
            <w:tcW w:w="1643"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87</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2,41%</w:t>
            </w:r>
          </w:p>
        </w:tc>
        <w:tc>
          <w:tcPr>
            <w:tcW w:w="135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1.613,08</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28,18%</w:t>
            </w:r>
          </w:p>
        </w:tc>
        <w:tc>
          <w:tcPr>
            <w:tcW w:w="1759"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18,54</w:t>
            </w:r>
          </w:p>
        </w:tc>
      </w:tr>
      <w:tr w:rsidR="00F85905" w:rsidRPr="006C69B9" w:rsidTr="006C69B9">
        <w:trPr>
          <w:trHeight w:val="255"/>
        </w:trPr>
        <w:tc>
          <w:tcPr>
            <w:cnfStyle w:val="001000000000"/>
            <w:tcW w:w="2473" w:type="dxa"/>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Broj iznad 50 [ha]</w:t>
            </w:r>
          </w:p>
        </w:tc>
        <w:tc>
          <w:tcPr>
            <w:tcW w:w="1643"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0,03%</w:t>
            </w:r>
          </w:p>
        </w:tc>
        <w:tc>
          <w:tcPr>
            <w:tcW w:w="135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274,21</w:t>
            </w:r>
          </w:p>
        </w:tc>
        <w:tc>
          <w:tcPr>
            <w:tcW w:w="1144"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4,79%</w:t>
            </w:r>
          </w:p>
        </w:tc>
        <w:tc>
          <w:tcPr>
            <w:tcW w:w="1759" w:type="dxa"/>
          </w:tcPr>
          <w:p w:rsidR="006C69B9" w:rsidRPr="006C69B9" w:rsidRDefault="006C69B9" w:rsidP="006C69B9">
            <w:pPr>
              <w:contextualSpacing/>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274,21</w:t>
            </w:r>
          </w:p>
        </w:tc>
      </w:tr>
      <w:tr w:rsidR="00F85905" w:rsidRPr="006C69B9" w:rsidTr="006C69B9">
        <w:trPr>
          <w:trHeight w:val="255"/>
        </w:trPr>
        <w:tc>
          <w:tcPr>
            <w:cnfStyle w:val="001000000000"/>
            <w:tcW w:w="2473" w:type="dxa"/>
          </w:tcPr>
          <w:p w:rsidR="006C69B9" w:rsidRPr="006C69B9" w:rsidRDefault="006C69B9" w:rsidP="006C69B9">
            <w:pPr>
              <w:contextualSpacing/>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Ukupno</w:t>
            </w:r>
          </w:p>
        </w:tc>
        <w:tc>
          <w:tcPr>
            <w:tcW w:w="1643" w:type="dxa"/>
            <w:shd w:val="clear" w:color="auto" w:fill="4BACC6"/>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3.611</w:t>
            </w:r>
          </w:p>
        </w:tc>
        <w:tc>
          <w:tcPr>
            <w:tcW w:w="1144" w:type="dxa"/>
            <w:shd w:val="clear" w:color="auto" w:fill="4BACC6"/>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100,00%</w:t>
            </w:r>
          </w:p>
        </w:tc>
        <w:tc>
          <w:tcPr>
            <w:tcW w:w="1354" w:type="dxa"/>
            <w:shd w:val="clear" w:color="auto" w:fill="4BACC6"/>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5.724,32</w:t>
            </w:r>
          </w:p>
        </w:tc>
        <w:tc>
          <w:tcPr>
            <w:tcW w:w="1144" w:type="dxa"/>
            <w:shd w:val="clear" w:color="auto" w:fill="4BACC6"/>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100,00%</w:t>
            </w:r>
          </w:p>
        </w:tc>
        <w:tc>
          <w:tcPr>
            <w:tcW w:w="1759" w:type="dxa"/>
            <w:shd w:val="clear" w:color="auto" w:fill="4BACC6"/>
          </w:tcPr>
          <w:p w:rsidR="006C69B9" w:rsidRPr="006C69B9" w:rsidRDefault="006C69B9" w:rsidP="006C69B9">
            <w:pPr>
              <w:contextualSpacing/>
              <w:jc w:val="center"/>
              <w:cnfStyle w:val="000000000000"/>
              <w:rPr>
                <w:rFonts w:ascii="Calibri" w:eastAsia="Calibri" w:hAnsi="Calibri" w:cs="Times New Roman"/>
                <w:b/>
                <w:color w:val="FFFFFF"/>
                <w:sz w:val="18"/>
                <w:szCs w:val="18"/>
                <w:lang w:val="bs-Latn-BA"/>
              </w:rPr>
            </w:pPr>
            <w:r w:rsidRPr="006C69B9">
              <w:rPr>
                <w:rFonts w:ascii="Calibri" w:eastAsia="Calibri" w:hAnsi="Calibri" w:cs="Times New Roman"/>
                <w:b/>
                <w:color w:val="FFFFFF"/>
                <w:sz w:val="18"/>
                <w:szCs w:val="18"/>
                <w:lang w:val="bs-Latn-BA"/>
              </w:rPr>
              <w:t>1,59</w:t>
            </w:r>
          </w:p>
        </w:tc>
      </w:tr>
    </w:tbl>
    <w:p w:rsidR="006C69B9" w:rsidRPr="006C69B9" w:rsidRDefault="006C69B9" w:rsidP="006C69B9">
      <w:pPr>
        <w:spacing w:after="0" w:line="360" w:lineRule="auto"/>
        <w:jc w:val="both"/>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FMPVŠ, Registar poljoprivrednih gospodarstava, 2016.</w:t>
      </w: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Od ukupno 3.611 registriranih poljoprivrednih gospodarstava čak 65,66% raspolaže poljoprivrednim zemljištem površine do 1 ha, odnosno 23,01% s površinama do 2,00 ha. Na ove dvije kategorije otpada 3.202 registrirana poljoprivredna gospodarstva ili čak 88,67%. Samo 3,71% gospodarstava raspolaže sa površinama većim od preko 5 ha. Prosječna površina poljoprivrednog zemljišta kojim raspolažu poljoprivredna gospodarstava na području HNŽ/K iznosi 1,59 ha, a u zemljama članicama Europske unije 14,30 ha ( skoro 9 puta više).</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Times New Roman"/>
          <w:lang w:val="bs-Latn-BA" w:eastAsia="hr-HR"/>
        </w:rPr>
        <w:br/>
      </w:r>
      <w:r w:rsidRPr="006C69B9">
        <w:rPr>
          <w:rFonts w:ascii="Calibri" w:eastAsia="Calibri" w:hAnsi="Calibri" w:cs="Calibri"/>
          <w:b/>
          <w:lang w:val="bs-Latn-BA"/>
        </w:rPr>
        <w:t>Biljna proizvodnja.</w:t>
      </w:r>
      <w:r w:rsidRPr="006C69B9">
        <w:rPr>
          <w:rFonts w:ascii="Calibri" w:eastAsia="Calibri" w:hAnsi="Calibri" w:cs="Calibri"/>
          <w:lang w:val="bs-Latn-BA"/>
        </w:rPr>
        <w:t xml:space="preserve"> U odnosu na 2015. godinu kad je bilo zasijano 711 ha sjetvenih površina, u 2019 godini je ta površina značajno smanjena i iznosi 429 ha. Posljedično je smanjen i prinos žitarica koji je </w:t>
      </w:r>
      <w:r w:rsidRPr="006C69B9">
        <w:rPr>
          <w:rFonts w:ascii="Calibri" w:eastAsia="Calibri" w:hAnsi="Calibri" w:cs="Calibri"/>
          <w:lang w:val="bs-Latn-BA"/>
        </w:rPr>
        <w:lastRenderedPageBreak/>
        <w:t xml:space="preserve">u 2019. godini iznosio 1.770 tona odnosno 16,78% manje nego u 2015. godini. U strukturi proizvodnje žitarica, dominiraju pšenica, ječam i kukuruz sa približno sličnim prinosima.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27</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Proizvodnja žitarica na području Herecgovačko-neretvanskog kantona</w:t>
      </w:r>
      <w:r w:rsidRPr="006C69B9">
        <w:rPr>
          <w:rFonts w:ascii="Calibri" w:eastAsia="Calibri" w:hAnsi="Calibri" w:cs="Calibri Light"/>
          <w:bCs/>
          <w:i/>
          <w:color w:val="31849B"/>
          <w:sz w:val="20"/>
        </w:rPr>
        <w:br/>
        <w:t xml:space="preserve"> u periodu 2015.-2019. godina</w:t>
      </w:r>
    </w:p>
    <w:tbl>
      <w:tblPr>
        <w:tblStyle w:val="GridTable5Dark-Accent11"/>
        <w:tblW w:w="9072" w:type="dxa"/>
        <w:tblLook w:val="06E0"/>
      </w:tblPr>
      <w:tblGrid>
        <w:gridCol w:w="2307"/>
        <w:gridCol w:w="1353"/>
        <w:gridCol w:w="1353"/>
        <w:gridCol w:w="1353"/>
        <w:gridCol w:w="1353"/>
        <w:gridCol w:w="1353"/>
      </w:tblGrid>
      <w:tr w:rsidR="00F85905" w:rsidRPr="006C69B9" w:rsidTr="006C69B9">
        <w:trPr>
          <w:cnfStyle w:val="100000000000"/>
          <w:trHeight w:val="20"/>
        </w:trPr>
        <w:tc>
          <w:tcPr>
            <w:cnfStyle w:val="001000000000"/>
            <w:tcW w:w="2307" w:type="dxa"/>
            <w:vMerge w:val="restart"/>
            <w:shd w:val="clear" w:color="auto" w:fill="4BACC6"/>
            <w:vAlign w:val="center"/>
            <w:hideMark/>
          </w:tcPr>
          <w:p w:rsidR="006C69B9" w:rsidRPr="006C69B9" w:rsidRDefault="006C69B9" w:rsidP="006C69B9">
            <w:pPr>
              <w:jc w:val="center"/>
              <w:rPr>
                <w:rFonts w:eastAsia="Times New Roman" w:cs="Calibri"/>
                <w:lang w:val="bs-Latn-BA" w:eastAsia="hr-HR"/>
              </w:rPr>
            </w:pPr>
            <w:r w:rsidRPr="006C69B9">
              <w:rPr>
                <w:rFonts w:eastAsia="Times New Roman" w:cs="Calibri"/>
                <w:lang w:val="bs-Latn-BA" w:eastAsia="hr-HR"/>
              </w:rPr>
              <w:t>Žitarice</w:t>
            </w:r>
          </w:p>
        </w:tc>
        <w:tc>
          <w:tcPr>
            <w:tcW w:w="1353" w:type="dxa"/>
            <w:shd w:val="clear" w:color="auto" w:fill="4BACC6"/>
            <w:vAlign w:val="center"/>
            <w:hideMark/>
          </w:tcPr>
          <w:p w:rsidR="006C69B9" w:rsidRPr="006C69B9" w:rsidRDefault="006C69B9" w:rsidP="006C69B9">
            <w:pPr>
              <w:jc w:val="center"/>
              <w:cnfStyle w:val="100000000000"/>
              <w:rPr>
                <w:rFonts w:eastAsia="Times New Roman" w:cs="Calibri"/>
                <w:lang w:val="bs-Latn-BA" w:eastAsia="hr-HR"/>
              </w:rPr>
            </w:pPr>
            <w:r w:rsidRPr="006C69B9">
              <w:rPr>
                <w:rFonts w:eastAsia="Times New Roman" w:cs="Calibri"/>
                <w:lang w:val="bs-Latn-BA" w:eastAsia="hr-HR"/>
              </w:rPr>
              <w:t>2015.</w:t>
            </w:r>
          </w:p>
        </w:tc>
        <w:tc>
          <w:tcPr>
            <w:tcW w:w="1353" w:type="dxa"/>
            <w:shd w:val="clear" w:color="auto" w:fill="4BACC6"/>
            <w:vAlign w:val="center"/>
            <w:hideMark/>
          </w:tcPr>
          <w:p w:rsidR="006C69B9" w:rsidRPr="006C69B9" w:rsidRDefault="006C69B9" w:rsidP="006C69B9">
            <w:pPr>
              <w:jc w:val="center"/>
              <w:cnfStyle w:val="100000000000"/>
              <w:rPr>
                <w:rFonts w:eastAsia="Times New Roman" w:cs="Calibri"/>
                <w:lang w:val="bs-Latn-BA" w:eastAsia="hr-HR"/>
              </w:rPr>
            </w:pPr>
            <w:r w:rsidRPr="006C69B9">
              <w:rPr>
                <w:rFonts w:eastAsia="Times New Roman" w:cs="Calibri"/>
                <w:lang w:val="bs-Latn-BA" w:eastAsia="hr-HR"/>
              </w:rPr>
              <w:t>2016.</w:t>
            </w:r>
          </w:p>
        </w:tc>
        <w:tc>
          <w:tcPr>
            <w:tcW w:w="1353" w:type="dxa"/>
            <w:shd w:val="clear" w:color="auto" w:fill="4BACC6"/>
            <w:vAlign w:val="center"/>
            <w:hideMark/>
          </w:tcPr>
          <w:p w:rsidR="006C69B9" w:rsidRPr="006C69B9" w:rsidRDefault="006C69B9" w:rsidP="006C69B9">
            <w:pPr>
              <w:jc w:val="center"/>
              <w:cnfStyle w:val="100000000000"/>
              <w:rPr>
                <w:rFonts w:eastAsia="Times New Roman" w:cs="Calibri"/>
                <w:lang w:val="bs-Latn-BA" w:eastAsia="hr-HR"/>
              </w:rPr>
            </w:pPr>
            <w:r w:rsidRPr="006C69B9">
              <w:rPr>
                <w:rFonts w:eastAsia="Times New Roman" w:cs="Calibri"/>
                <w:lang w:val="bs-Latn-BA" w:eastAsia="hr-HR"/>
              </w:rPr>
              <w:t>2017.</w:t>
            </w:r>
          </w:p>
        </w:tc>
        <w:tc>
          <w:tcPr>
            <w:tcW w:w="1353" w:type="dxa"/>
            <w:shd w:val="clear" w:color="auto" w:fill="4BACC6"/>
            <w:vAlign w:val="center"/>
            <w:hideMark/>
          </w:tcPr>
          <w:p w:rsidR="006C69B9" w:rsidRPr="006C69B9" w:rsidRDefault="006C69B9" w:rsidP="006C69B9">
            <w:pPr>
              <w:jc w:val="center"/>
              <w:cnfStyle w:val="100000000000"/>
              <w:rPr>
                <w:rFonts w:eastAsia="Times New Roman" w:cs="Calibri"/>
                <w:lang w:val="bs-Latn-BA" w:eastAsia="hr-HR"/>
              </w:rPr>
            </w:pPr>
            <w:r w:rsidRPr="006C69B9">
              <w:rPr>
                <w:rFonts w:eastAsia="Times New Roman" w:cs="Calibri"/>
                <w:lang w:val="bs-Latn-BA" w:eastAsia="hr-HR"/>
              </w:rPr>
              <w:t>2018.</w:t>
            </w:r>
          </w:p>
        </w:tc>
        <w:tc>
          <w:tcPr>
            <w:tcW w:w="1353" w:type="dxa"/>
            <w:shd w:val="clear" w:color="auto" w:fill="4BACC6"/>
            <w:vAlign w:val="center"/>
            <w:hideMark/>
          </w:tcPr>
          <w:p w:rsidR="006C69B9" w:rsidRPr="006C69B9" w:rsidRDefault="006C69B9" w:rsidP="006C69B9">
            <w:pPr>
              <w:jc w:val="center"/>
              <w:cnfStyle w:val="100000000000"/>
              <w:rPr>
                <w:rFonts w:eastAsia="Times New Roman" w:cs="Calibri"/>
                <w:lang w:val="bs-Latn-BA" w:eastAsia="hr-HR"/>
              </w:rPr>
            </w:pPr>
            <w:r w:rsidRPr="006C69B9">
              <w:rPr>
                <w:rFonts w:eastAsia="Times New Roman" w:cs="Calibri"/>
                <w:lang w:val="bs-Latn-BA" w:eastAsia="hr-HR"/>
              </w:rPr>
              <w:t>2019.</w:t>
            </w:r>
          </w:p>
        </w:tc>
      </w:tr>
      <w:tr w:rsidR="00F85905" w:rsidRPr="006C69B9" w:rsidTr="006C69B9">
        <w:trPr>
          <w:trHeight w:val="20"/>
        </w:trPr>
        <w:tc>
          <w:tcPr>
            <w:cnfStyle w:val="001000000000"/>
            <w:tcW w:w="2307" w:type="dxa"/>
            <w:vMerge/>
            <w:shd w:val="clear" w:color="auto" w:fill="4BACC6"/>
            <w:vAlign w:val="center"/>
            <w:hideMark/>
          </w:tcPr>
          <w:p w:rsidR="006C69B9" w:rsidRPr="006C69B9" w:rsidRDefault="006C69B9" w:rsidP="006C69B9">
            <w:pPr>
              <w:jc w:val="center"/>
              <w:rPr>
                <w:rFonts w:eastAsia="Times New Roman" w:cs="Calibri"/>
                <w:lang w:val="bs-Latn-BA" w:eastAsia="hr-HR"/>
              </w:rPr>
            </w:pPr>
          </w:p>
        </w:tc>
        <w:tc>
          <w:tcPr>
            <w:tcW w:w="1353" w:type="dxa"/>
            <w:shd w:val="clear" w:color="auto" w:fill="4BACC6"/>
            <w:vAlign w:val="center"/>
            <w:hideMark/>
          </w:tcPr>
          <w:p w:rsidR="006C69B9" w:rsidRPr="006C69B9" w:rsidRDefault="006C69B9" w:rsidP="006C69B9">
            <w:pPr>
              <w:jc w:val="center"/>
              <w:cnfStyle w:val="000000000000"/>
              <w:rPr>
                <w:rFonts w:eastAsia="Times New Roman" w:cs="Calibri"/>
                <w:color w:val="FFFFFF"/>
                <w:lang w:val="bs-Latn-BA" w:eastAsia="hr-HR"/>
              </w:rPr>
            </w:pPr>
            <w:r w:rsidRPr="006C69B9">
              <w:rPr>
                <w:rFonts w:eastAsia="Times New Roman" w:cs="Calibri"/>
                <w:color w:val="FFFFFF"/>
                <w:lang w:val="bs-Latn-BA" w:eastAsia="hr-HR"/>
              </w:rPr>
              <w:t xml:space="preserve">količina </w:t>
            </w:r>
            <w:r w:rsidRPr="006C69B9">
              <w:rPr>
                <w:rFonts w:eastAsia="Times New Roman" w:cs="Calibri"/>
                <w:color w:val="FFFFFF"/>
                <w:lang w:val="bs-Latn-BA" w:eastAsia="hr-HR"/>
              </w:rPr>
              <w:br/>
              <w:t>(u tonama)</w:t>
            </w:r>
          </w:p>
        </w:tc>
        <w:tc>
          <w:tcPr>
            <w:tcW w:w="1353" w:type="dxa"/>
            <w:shd w:val="clear" w:color="auto" w:fill="4BACC6"/>
            <w:vAlign w:val="center"/>
            <w:hideMark/>
          </w:tcPr>
          <w:p w:rsidR="006C69B9" w:rsidRPr="006C69B9" w:rsidRDefault="006C69B9" w:rsidP="006C69B9">
            <w:pPr>
              <w:jc w:val="center"/>
              <w:cnfStyle w:val="000000000000"/>
              <w:rPr>
                <w:rFonts w:eastAsia="Times New Roman" w:cs="Calibri"/>
                <w:color w:val="FFFFFF"/>
                <w:lang w:val="bs-Latn-BA" w:eastAsia="hr-HR"/>
              </w:rPr>
            </w:pPr>
            <w:r w:rsidRPr="006C69B9">
              <w:rPr>
                <w:rFonts w:eastAsia="Times New Roman" w:cs="Calibri"/>
                <w:color w:val="FFFFFF"/>
                <w:lang w:val="bs-Latn-BA" w:eastAsia="hr-HR"/>
              </w:rPr>
              <w:t xml:space="preserve">količina </w:t>
            </w:r>
            <w:r w:rsidRPr="006C69B9">
              <w:rPr>
                <w:rFonts w:eastAsia="Times New Roman" w:cs="Calibri"/>
                <w:color w:val="FFFFFF"/>
                <w:lang w:val="bs-Latn-BA" w:eastAsia="hr-HR"/>
              </w:rPr>
              <w:br/>
              <w:t>(u tonama)</w:t>
            </w:r>
          </w:p>
        </w:tc>
        <w:tc>
          <w:tcPr>
            <w:tcW w:w="1353" w:type="dxa"/>
            <w:shd w:val="clear" w:color="auto" w:fill="4BACC6"/>
            <w:vAlign w:val="center"/>
            <w:hideMark/>
          </w:tcPr>
          <w:p w:rsidR="006C69B9" w:rsidRPr="006C69B9" w:rsidRDefault="006C69B9" w:rsidP="006C69B9">
            <w:pPr>
              <w:jc w:val="center"/>
              <w:cnfStyle w:val="000000000000"/>
              <w:rPr>
                <w:rFonts w:eastAsia="Times New Roman" w:cs="Calibri"/>
                <w:color w:val="FFFFFF"/>
                <w:lang w:val="bs-Latn-BA" w:eastAsia="hr-HR"/>
              </w:rPr>
            </w:pPr>
            <w:r w:rsidRPr="006C69B9">
              <w:rPr>
                <w:rFonts w:eastAsia="Times New Roman" w:cs="Calibri"/>
                <w:color w:val="FFFFFF"/>
                <w:lang w:val="bs-Latn-BA" w:eastAsia="hr-HR"/>
              </w:rPr>
              <w:t xml:space="preserve">količina </w:t>
            </w:r>
            <w:r w:rsidRPr="006C69B9">
              <w:rPr>
                <w:rFonts w:eastAsia="Times New Roman" w:cs="Calibri"/>
                <w:color w:val="FFFFFF"/>
                <w:lang w:val="bs-Latn-BA" w:eastAsia="hr-HR"/>
              </w:rPr>
              <w:br/>
              <w:t>(u tonama)</w:t>
            </w:r>
          </w:p>
        </w:tc>
        <w:tc>
          <w:tcPr>
            <w:tcW w:w="1353" w:type="dxa"/>
            <w:shd w:val="clear" w:color="auto" w:fill="4BACC6"/>
            <w:vAlign w:val="center"/>
            <w:hideMark/>
          </w:tcPr>
          <w:p w:rsidR="006C69B9" w:rsidRPr="006C69B9" w:rsidRDefault="006C69B9" w:rsidP="006C69B9">
            <w:pPr>
              <w:jc w:val="center"/>
              <w:cnfStyle w:val="000000000000"/>
              <w:rPr>
                <w:rFonts w:eastAsia="Times New Roman" w:cs="Calibri"/>
                <w:color w:val="FFFFFF"/>
                <w:lang w:val="bs-Latn-BA" w:eastAsia="hr-HR"/>
              </w:rPr>
            </w:pPr>
            <w:r w:rsidRPr="006C69B9">
              <w:rPr>
                <w:rFonts w:eastAsia="Times New Roman" w:cs="Calibri"/>
                <w:color w:val="FFFFFF"/>
                <w:lang w:val="bs-Latn-BA" w:eastAsia="hr-HR"/>
              </w:rPr>
              <w:t xml:space="preserve">količina </w:t>
            </w:r>
            <w:r w:rsidRPr="006C69B9">
              <w:rPr>
                <w:rFonts w:eastAsia="Times New Roman" w:cs="Calibri"/>
                <w:color w:val="FFFFFF"/>
                <w:lang w:val="bs-Latn-BA" w:eastAsia="hr-HR"/>
              </w:rPr>
              <w:br/>
              <w:t>(u tonama)</w:t>
            </w:r>
          </w:p>
        </w:tc>
        <w:tc>
          <w:tcPr>
            <w:tcW w:w="1353" w:type="dxa"/>
            <w:shd w:val="clear" w:color="auto" w:fill="4BACC6"/>
            <w:vAlign w:val="center"/>
            <w:hideMark/>
          </w:tcPr>
          <w:p w:rsidR="006C69B9" w:rsidRPr="006C69B9" w:rsidRDefault="006C69B9" w:rsidP="006C69B9">
            <w:pPr>
              <w:jc w:val="center"/>
              <w:cnfStyle w:val="000000000000"/>
              <w:rPr>
                <w:rFonts w:eastAsia="Times New Roman" w:cs="Calibri"/>
                <w:color w:val="FFFFFF"/>
                <w:lang w:val="bs-Latn-BA" w:eastAsia="hr-HR"/>
              </w:rPr>
            </w:pPr>
            <w:r w:rsidRPr="006C69B9">
              <w:rPr>
                <w:rFonts w:eastAsia="Times New Roman" w:cs="Calibri"/>
                <w:color w:val="FFFFFF"/>
                <w:lang w:val="bs-Latn-BA" w:eastAsia="hr-HR"/>
              </w:rPr>
              <w:t xml:space="preserve">količina </w:t>
            </w:r>
            <w:r w:rsidRPr="006C69B9">
              <w:rPr>
                <w:rFonts w:eastAsia="Times New Roman" w:cs="Calibri"/>
                <w:color w:val="FFFFFF"/>
                <w:lang w:val="bs-Latn-BA" w:eastAsia="hr-HR"/>
              </w:rPr>
              <w:br/>
              <w:t>(u tonama)</w:t>
            </w:r>
          </w:p>
        </w:tc>
      </w:tr>
      <w:tr w:rsidR="00F85905" w:rsidRPr="006C69B9" w:rsidTr="006C69B9">
        <w:trPr>
          <w:trHeight w:val="20"/>
        </w:trPr>
        <w:tc>
          <w:tcPr>
            <w:cnfStyle w:val="001000000000"/>
            <w:tcW w:w="2307" w:type="dxa"/>
            <w:shd w:val="clear" w:color="auto" w:fill="4BACC6"/>
            <w:hideMark/>
          </w:tcPr>
          <w:p w:rsidR="006C69B9" w:rsidRPr="006C69B9" w:rsidRDefault="006C69B9" w:rsidP="006C69B9">
            <w:pPr>
              <w:ind w:firstLineChars="100" w:firstLine="201"/>
              <w:rPr>
                <w:rFonts w:eastAsia="Times New Roman" w:cs="Calibri"/>
                <w:lang w:val="bs-Latn-BA" w:eastAsia="hr-HR"/>
              </w:rPr>
            </w:pPr>
            <w:r w:rsidRPr="006C69B9">
              <w:rPr>
                <w:rFonts w:eastAsia="Times New Roman" w:cs="Calibri"/>
                <w:lang w:val="bs-Latn-BA" w:eastAsia="hr-HR"/>
              </w:rPr>
              <w:t>Pšenica</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863    </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799    </w:t>
            </w:r>
          </w:p>
        </w:tc>
        <w:tc>
          <w:tcPr>
            <w:tcW w:w="1353" w:type="dxa"/>
            <w:noWrap/>
            <w:vAlign w:val="bottom"/>
            <w:hideMark/>
          </w:tcPr>
          <w:p w:rsidR="006C69B9" w:rsidRPr="006C69B9" w:rsidRDefault="006C69B9" w:rsidP="006C69B9">
            <w:pPr>
              <w:jc w:val="center"/>
              <w:cnfStyle w:val="000000000000"/>
              <w:rPr>
                <w:rFonts w:cs="Calibri"/>
                <w:color w:val="000000"/>
                <w:sz w:val="18"/>
                <w:szCs w:val="18"/>
                <w:lang w:val="bs-Latn-BA"/>
              </w:rPr>
            </w:pPr>
            <w:r w:rsidRPr="006C69B9">
              <w:rPr>
                <w:rFonts w:cs="Calibri"/>
                <w:color w:val="000000"/>
                <w:sz w:val="18"/>
                <w:szCs w:val="18"/>
                <w:lang w:val="bs-Latn-BA"/>
              </w:rPr>
              <w:t xml:space="preserve">                    881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800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601    </w:t>
            </w:r>
          </w:p>
        </w:tc>
      </w:tr>
      <w:tr w:rsidR="00F85905" w:rsidRPr="006C69B9" w:rsidTr="006C69B9">
        <w:trPr>
          <w:trHeight w:val="20"/>
        </w:trPr>
        <w:tc>
          <w:tcPr>
            <w:cnfStyle w:val="001000000000"/>
            <w:tcW w:w="2307" w:type="dxa"/>
            <w:shd w:val="clear" w:color="auto" w:fill="4BACC6"/>
            <w:hideMark/>
          </w:tcPr>
          <w:p w:rsidR="006C69B9" w:rsidRPr="006C69B9" w:rsidRDefault="006C69B9" w:rsidP="006C69B9">
            <w:pPr>
              <w:ind w:firstLineChars="100" w:firstLine="201"/>
              <w:rPr>
                <w:rFonts w:eastAsia="Times New Roman" w:cs="Calibri"/>
                <w:lang w:val="bs-Latn-BA" w:eastAsia="hr-HR"/>
              </w:rPr>
            </w:pPr>
            <w:r w:rsidRPr="006C69B9">
              <w:rPr>
                <w:rFonts w:eastAsia="Times New Roman" w:cs="Calibri"/>
                <w:lang w:val="bs-Latn-BA" w:eastAsia="hr-HR"/>
              </w:rPr>
              <w:t>Raž</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59    </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45    </w:t>
            </w:r>
          </w:p>
        </w:tc>
        <w:tc>
          <w:tcPr>
            <w:tcW w:w="1353" w:type="dxa"/>
            <w:noWrap/>
            <w:vAlign w:val="bottom"/>
            <w:hideMark/>
          </w:tcPr>
          <w:p w:rsidR="006C69B9" w:rsidRPr="006C69B9" w:rsidRDefault="006C69B9" w:rsidP="006C69B9">
            <w:pPr>
              <w:jc w:val="center"/>
              <w:cnfStyle w:val="000000000000"/>
              <w:rPr>
                <w:rFonts w:cs="Calibri"/>
                <w:color w:val="000000"/>
                <w:sz w:val="18"/>
                <w:szCs w:val="18"/>
                <w:lang w:val="bs-Latn-BA"/>
              </w:rPr>
            </w:pPr>
            <w:r w:rsidRPr="006C69B9">
              <w:rPr>
                <w:rFonts w:cs="Calibri"/>
                <w:color w:val="000000"/>
                <w:sz w:val="18"/>
                <w:szCs w:val="18"/>
                <w:lang w:val="bs-Latn-BA"/>
              </w:rPr>
              <w:t xml:space="preserve">                      39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41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29    </w:t>
            </w:r>
          </w:p>
        </w:tc>
      </w:tr>
      <w:tr w:rsidR="00F85905" w:rsidRPr="006C69B9" w:rsidTr="006C69B9">
        <w:trPr>
          <w:trHeight w:val="20"/>
        </w:trPr>
        <w:tc>
          <w:tcPr>
            <w:cnfStyle w:val="001000000000"/>
            <w:tcW w:w="2307" w:type="dxa"/>
            <w:shd w:val="clear" w:color="auto" w:fill="4BACC6"/>
            <w:hideMark/>
          </w:tcPr>
          <w:p w:rsidR="006C69B9" w:rsidRPr="006C69B9" w:rsidRDefault="006C69B9" w:rsidP="006C69B9">
            <w:pPr>
              <w:ind w:firstLineChars="100" w:firstLine="201"/>
              <w:rPr>
                <w:rFonts w:eastAsia="Times New Roman" w:cs="Calibri"/>
                <w:lang w:val="bs-Latn-BA" w:eastAsia="hr-HR"/>
              </w:rPr>
            </w:pPr>
            <w:r w:rsidRPr="006C69B9">
              <w:rPr>
                <w:rFonts w:eastAsia="Times New Roman" w:cs="Calibri"/>
                <w:lang w:val="bs-Latn-BA" w:eastAsia="hr-HR"/>
              </w:rPr>
              <w:t>Ječam</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787    </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746    </w:t>
            </w:r>
          </w:p>
        </w:tc>
        <w:tc>
          <w:tcPr>
            <w:tcW w:w="1353" w:type="dxa"/>
            <w:noWrap/>
            <w:vAlign w:val="bottom"/>
            <w:hideMark/>
          </w:tcPr>
          <w:p w:rsidR="006C69B9" w:rsidRPr="006C69B9" w:rsidRDefault="006C69B9" w:rsidP="006C69B9">
            <w:pPr>
              <w:jc w:val="center"/>
              <w:cnfStyle w:val="000000000000"/>
              <w:rPr>
                <w:rFonts w:cs="Calibri"/>
                <w:color w:val="000000"/>
                <w:sz w:val="18"/>
                <w:szCs w:val="18"/>
                <w:lang w:val="bs-Latn-BA"/>
              </w:rPr>
            </w:pPr>
            <w:r w:rsidRPr="006C69B9">
              <w:rPr>
                <w:rFonts w:cs="Calibri"/>
                <w:color w:val="000000"/>
                <w:sz w:val="18"/>
                <w:szCs w:val="18"/>
                <w:lang w:val="bs-Latn-BA"/>
              </w:rPr>
              <w:t xml:space="preserve">                    732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813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560    </w:t>
            </w:r>
          </w:p>
        </w:tc>
      </w:tr>
      <w:tr w:rsidR="00F85905" w:rsidRPr="006C69B9" w:rsidTr="006C69B9">
        <w:trPr>
          <w:trHeight w:val="20"/>
        </w:trPr>
        <w:tc>
          <w:tcPr>
            <w:cnfStyle w:val="001000000000"/>
            <w:tcW w:w="2307" w:type="dxa"/>
            <w:shd w:val="clear" w:color="auto" w:fill="4BACC6"/>
            <w:hideMark/>
          </w:tcPr>
          <w:p w:rsidR="006C69B9" w:rsidRPr="006C69B9" w:rsidRDefault="006C69B9" w:rsidP="006C69B9">
            <w:pPr>
              <w:ind w:firstLineChars="100" w:firstLine="201"/>
              <w:rPr>
                <w:rFonts w:eastAsia="Times New Roman" w:cs="Calibri"/>
                <w:lang w:val="bs-Latn-BA" w:eastAsia="hr-HR"/>
              </w:rPr>
            </w:pPr>
            <w:r w:rsidRPr="006C69B9">
              <w:rPr>
                <w:rFonts w:eastAsia="Times New Roman" w:cs="Calibri"/>
                <w:lang w:val="bs-Latn-BA" w:eastAsia="hr-HR"/>
              </w:rPr>
              <w:t>Zob</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112    </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54    </w:t>
            </w:r>
          </w:p>
        </w:tc>
        <w:tc>
          <w:tcPr>
            <w:tcW w:w="1353" w:type="dxa"/>
            <w:noWrap/>
            <w:vAlign w:val="bottom"/>
            <w:hideMark/>
          </w:tcPr>
          <w:p w:rsidR="006C69B9" w:rsidRPr="006C69B9" w:rsidRDefault="006C69B9" w:rsidP="006C69B9">
            <w:pPr>
              <w:jc w:val="center"/>
              <w:cnfStyle w:val="000000000000"/>
              <w:rPr>
                <w:rFonts w:cs="Calibri"/>
                <w:color w:val="000000"/>
                <w:sz w:val="18"/>
                <w:szCs w:val="18"/>
                <w:lang w:val="bs-Latn-BA"/>
              </w:rPr>
            </w:pPr>
            <w:r w:rsidRPr="006C69B9">
              <w:rPr>
                <w:rFonts w:cs="Calibri"/>
                <w:color w:val="000000"/>
                <w:sz w:val="18"/>
                <w:szCs w:val="18"/>
                <w:lang w:val="bs-Latn-BA"/>
              </w:rPr>
              <w:t xml:space="preserve">                      35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42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40    </w:t>
            </w:r>
          </w:p>
        </w:tc>
      </w:tr>
      <w:tr w:rsidR="00F85905" w:rsidRPr="006C69B9" w:rsidTr="006C69B9">
        <w:trPr>
          <w:trHeight w:val="20"/>
        </w:trPr>
        <w:tc>
          <w:tcPr>
            <w:cnfStyle w:val="001000000000"/>
            <w:tcW w:w="2307" w:type="dxa"/>
            <w:shd w:val="clear" w:color="auto" w:fill="4BACC6"/>
            <w:hideMark/>
          </w:tcPr>
          <w:p w:rsidR="006C69B9" w:rsidRPr="006C69B9" w:rsidRDefault="006C69B9" w:rsidP="006C69B9">
            <w:pPr>
              <w:ind w:firstLineChars="100" w:firstLine="201"/>
              <w:rPr>
                <w:rFonts w:eastAsia="Times New Roman" w:cs="Calibri"/>
                <w:lang w:val="bs-Latn-BA" w:eastAsia="hr-HR"/>
              </w:rPr>
            </w:pPr>
            <w:r w:rsidRPr="006C69B9">
              <w:rPr>
                <w:rFonts w:eastAsia="Times New Roman" w:cs="Calibri"/>
                <w:lang w:val="bs-Latn-BA" w:eastAsia="hr-HR"/>
              </w:rPr>
              <w:t>Kukuruz</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306    </w:t>
            </w:r>
          </w:p>
        </w:tc>
        <w:tc>
          <w:tcPr>
            <w:tcW w:w="1353" w:type="dxa"/>
            <w:noWrap/>
            <w:vAlign w:val="bottom"/>
            <w:hideMark/>
          </w:tcPr>
          <w:p w:rsidR="006C69B9" w:rsidRPr="006C69B9" w:rsidRDefault="006C69B9" w:rsidP="006C69B9">
            <w:pPr>
              <w:cnfStyle w:val="000000000000"/>
              <w:rPr>
                <w:rFonts w:cs="Calibri"/>
                <w:color w:val="000000"/>
                <w:sz w:val="18"/>
                <w:szCs w:val="18"/>
                <w:lang w:val="bs-Latn-BA"/>
              </w:rPr>
            </w:pPr>
            <w:r w:rsidRPr="006C69B9">
              <w:rPr>
                <w:rFonts w:cs="Calibri"/>
                <w:color w:val="000000"/>
                <w:sz w:val="18"/>
                <w:szCs w:val="18"/>
                <w:lang w:val="bs-Latn-BA"/>
              </w:rPr>
              <w:t xml:space="preserve">                    308    </w:t>
            </w:r>
          </w:p>
        </w:tc>
        <w:tc>
          <w:tcPr>
            <w:tcW w:w="1353" w:type="dxa"/>
            <w:noWrap/>
            <w:vAlign w:val="bottom"/>
            <w:hideMark/>
          </w:tcPr>
          <w:p w:rsidR="006C69B9" w:rsidRPr="006C69B9" w:rsidRDefault="006C69B9" w:rsidP="006C69B9">
            <w:pPr>
              <w:jc w:val="center"/>
              <w:cnfStyle w:val="000000000000"/>
              <w:rPr>
                <w:rFonts w:cs="Calibri"/>
                <w:color w:val="000000"/>
                <w:sz w:val="18"/>
                <w:szCs w:val="18"/>
                <w:lang w:val="bs-Latn-BA"/>
              </w:rPr>
            </w:pPr>
            <w:r w:rsidRPr="006C69B9">
              <w:rPr>
                <w:rFonts w:cs="Calibri"/>
                <w:color w:val="000000"/>
                <w:sz w:val="18"/>
                <w:szCs w:val="18"/>
                <w:lang w:val="bs-Latn-BA"/>
              </w:rPr>
              <w:t xml:space="preserve">                    214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199    </w:t>
            </w:r>
          </w:p>
        </w:tc>
        <w:tc>
          <w:tcPr>
            <w:tcW w:w="1353" w:type="dxa"/>
            <w:noWrap/>
            <w:vAlign w:val="bottom"/>
            <w:hideMark/>
          </w:tcPr>
          <w:p w:rsidR="006C69B9" w:rsidRPr="006C69B9" w:rsidRDefault="006C69B9" w:rsidP="006C69B9">
            <w:pPr>
              <w:jc w:val="center"/>
              <w:cnfStyle w:val="000000000000"/>
              <w:rPr>
                <w:rFonts w:cs="Calibri"/>
                <w:sz w:val="18"/>
                <w:szCs w:val="18"/>
                <w:lang w:val="bs-Latn-BA"/>
              </w:rPr>
            </w:pPr>
            <w:r w:rsidRPr="006C69B9">
              <w:rPr>
                <w:rFonts w:cs="Calibri"/>
                <w:sz w:val="18"/>
                <w:szCs w:val="18"/>
                <w:lang w:val="bs-Latn-BA"/>
              </w:rPr>
              <w:t xml:space="preserve">                    540    </w:t>
            </w:r>
          </w:p>
        </w:tc>
      </w:tr>
      <w:tr w:rsidR="00F85905" w:rsidRPr="006C69B9" w:rsidTr="006C69B9">
        <w:trPr>
          <w:cnfStyle w:val="010000000000"/>
          <w:trHeight w:val="20"/>
        </w:trPr>
        <w:tc>
          <w:tcPr>
            <w:cnfStyle w:val="001000000000"/>
            <w:tcW w:w="2307" w:type="dxa"/>
            <w:shd w:val="clear" w:color="auto" w:fill="4BACC6"/>
          </w:tcPr>
          <w:p w:rsidR="006C69B9" w:rsidRPr="006C69B9" w:rsidRDefault="006C69B9" w:rsidP="006C69B9">
            <w:pPr>
              <w:ind w:firstLineChars="100" w:firstLine="201"/>
              <w:rPr>
                <w:rFonts w:eastAsia="Times New Roman" w:cs="Calibri"/>
                <w:lang w:val="bs-Latn-BA" w:eastAsia="hr-HR"/>
              </w:rPr>
            </w:pPr>
            <w:r w:rsidRPr="006C69B9">
              <w:rPr>
                <w:rFonts w:eastAsia="Times New Roman" w:cs="Calibri"/>
                <w:lang w:val="bs-Latn-BA" w:eastAsia="hr-HR"/>
              </w:rPr>
              <w:t xml:space="preserve"> Ukupno</w:t>
            </w:r>
          </w:p>
        </w:tc>
        <w:tc>
          <w:tcPr>
            <w:tcW w:w="1353" w:type="dxa"/>
            <w:shd w:val="clear" w:color="auto" w:fill="4BACC6"/>
            <w:noWrap/>
            <w:vAlign w:val="bottom"/>
          </w:tcPr>
          <w:p w:rsidR="006C69B9" w:rsidRPr="006C69B9" w:rsidRDefault="006C69B9" w:rsidP="006C69B9">
            <w:pPr>
              <w:cnfStyle w:val="010000000000"/>
              <w:rPr>
                <w:rFonts w:cs="Calibri"/>
                <w:sz w:val="18"/>
                <w:szCs w:val="18"/>
                <w:lang w:val="bs-Latn-BA"/>
              </w:rPr>
            </w:pPr>
            <w:r w:rsidRPr="006C69B9">
              <w:rPr>
                <w:rFonts w:cs="Calibri"/>
                <w:sz w:val="18"/>
                <w:szCs w:val="18"/>
                <w:lang w:val="bs-Latn-BA"/>
              </w:rPr>
              <w:t xml:space="preserve">                2.127    </w:t>
            </w:r>
          </w:p>
        </w:tc>
        <w:tc>
          <w:tcPr>
            <w:tcW w:w="1353" w:type="dxa"/>
            <w:shd w:val="clear" w:color="auto" w:fill="4BACC6"/>
            <w:noWrap/>
            <w:vAlign w:val="bottom"/>
          </w:tcPr>
          <w:p w:rsidR="006C69B9" w:rsidRPr="006C69B9" w:rsidRDefault="006C69B9" w:rsidP="006C69B9">
            <w:pPr>
              <w:cnfStyle w:val="010000000000"/>
              <w:rPr>
                <w:rFonts w:cs="Calibri"/>
                <w:sz w:val="18"/>
                <w:szCs w:val="18"/>
                <w:lang w:val="bs-Latn-BA"/>
              </w:rPr>
            </w:pPr>
            <w:r w:rsidRPr="006C69B9">
              <w:rPr>
                <w:rFonts w:cs="Calibri"/>
                <w:sz w:val="18"/>
                <w:szCs w:val="18"/>
                <w:lang w:val="bs-Latn-BA"/>
              </w:rPr>
              <w:t xml:space="preserve">                1.952    </w:t>
            </w:r>
          </w:p>
        </w:tc>
        <w:tc>
          <w:tcPr>
            <w:tcW w:w="1353" w:type="dxa"/>
            <w:shd w:val="clear" w:color="auto" w:fill="4BACC6"/>
            <w:noWrap/>
            <w:vAlign w:val="bottom"/>
          </w:tcPr>
          <w:p w:rsidR="006C69B9" w:rsidRPr="006C69B9" w:rsidRDefault="006C69B9" w:rsidP="006C69B9">
            <w:pPr>
              <w:cnfStyle w:val="010000000000"/>
              <w:rPr>
                <w:rFonts w:cs="Calibri"/>
                <w:sz w:val="18"/>
                <w:szCs w:val="18"/>
                <w:lang w:val="bs-Latn-BA"/>
              </w:rPr>
            </w:pPr>
            <w:r w:rsidRPr="006C69B9">
              <w:rPr>
                <w:rFonts w:cs="Calibri"/>
                <w:sz w:val="18"/>
                <w:szCs w:val="18"/>
                <w:lang w:val="bs-Latn-BA"/>
              </w:rPr>
              <w:t xml:space="preserve">                1.901    </w:t>
            </w:r>
          </w:p>
        </w:tc>
        <w:tc>
          <w:tcPr>
            <w:tcW w:w="1353" w:type="dxa"/>
            <w:shd w:val="clear" w:color="auto" w:fill="4BACC6"/>
            <w:noWrap/>
            <w:vAlign w:val="bottom"/>
          </w:tcPr>
          <w:p w:rsidR="006C69B9" w:rsidRPr="006C69B9" w:rsidRDefault="006C69B9" w:rsidP="006C69B9">
            <w:pPr>
              <w:cnfStyle w:val="010000000000"/>
              <w:rPr>
                <w:rFonts w:cs="Calibri"/>
                <w:sz w:val="18"/>
                <w:szCs w:val="18"/>
                <w:lang w:val="bs-Latn-BA"/>
              </w:rPr>
            </w:pPr>
            <w:r w:rsidRPr="006C69B9">
              <w:rPr>
                <w:rFonts w:cs="Calibri"/>
                <w:sz w:val="18"/>
                <w:szCs w:val="18"/>
                <w:lang w:val="bs-Latn-BA"/>
              </w:rPr>
              <w:t xml:space="preserve">                1.895    </w:t>
            </w:r>
          </w:p>
        </w:tc>
        <w:tc>
          <w:tcPr>
            <w:tcW w:w="1353" w:type="dxa"/>
            <w:shd w:val="clear" w:color="auto" w:fill="4BACC6"/>
            <w:noWrap/>
            <w:vAlign w:val="bottom"/>
          </w:tcPr>
          <w:p w:rsidR="006C69B9" w:rsidRPr="006C69B9" w:rsidRDefault="006C69B9" w:rsidP="006C69B9">
            <w:pPr>
              <w:cnfStyle w:val="010000000000"/>
              <w:rPr>
                <w:rFonts w:cs="Calibri"/>
                <w:sz w:val="18"/>
                <w:szCs w:val="18"/>
                <w:lang w:val="bs-Latn-BA"/>
              </w:rPr>
            </w:pPr>
            <w:r w:rsidRPr="006C69B9">
              <w:rPr>
                <w:rFonts w:cs="Calibri"/>
                <w:sz w:val="18"/>
                <w:szCs w:val="18"/>
                <w:lang w:val="bs-Latn-BA"/>
              </w:rPr>
              <w:t xml:space="preserve">                1.770    </w:t>
            </w:r>
          </w:p>
        </w:tc>
      </w:tr>
    </w:tbl>
    <w:p w:rsidR="006C69B9" w:rsidRPr="006C69B9" w:rsidRDefault="006C69B9" w:rsidP="006C69B9">
      <w:pPr>
        <w:jc w:val="both"/>
        <w:rPr>
          <w:rFonts w:ascii="Calibri" w:eastAsia="Calibri" w:hAnsi="Calibri" w:cs="Times New Roman"/>
          <w:b/>
          <w:bCs/>
          <w:i/>
          <w:sz w:val="16"/>
          <w:szCs w:val="16"/>
          <w:lang w:val="bs-Latn-BA"/>
        </w:rPr>
      </w:pPr>
      <w:r w:rsidRPr="006C69B9">
        <w:rPr>
          <w:rFonts w:ascii="Calibri" w:eastAsia="Calibri" w:hAnsi="Calibri" w:cs="Times New Roman"/>
          <w:b/>
          <w:bCs/>
          <w:i/>
          <w:sz w:val="16"/>
          <w:szCs w:val="16"/>
          <w:lang w:val="bs-Latn-BA"/>
        </w:rPr>
        <w:t xml:space="preserve">Izvor: Federalni zavod za statistiku </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 xml:space="preserve">Aluvijalna tla u donjem toku rijeke Neretve (Salakovac do Metkovića) pogodna su za proizvodnju povrtlarskih kultura. Najzastupljeniji među povrtlarskim kulturama je krumpir sa cca 27,8 tona prinosa godišnje. Od 2016. godine je omogućen izvoz krumpira u EU-28 što je dodatni motiv za dalje unaprijeđenje kapaciteta uzgoja krumpira.  Ostale značajne povrtlarske kulture uključuju paradajz (10,2 tone godišnje), kupus (9,1 tona godišnje) te papriku i luk. U prethodnom periodu nije došlo do značajnog povećanja niti sjetvene površine niti prinosa kada je riječ o povrtlarskim strukturama.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28</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Proizvodnja povrća na području Herecgovačko-neretvanskog kantona u periodu 2015.-2019. godina</w:t>
      </w:r>
    </w:p>
    <w:tbl>
      <w:tblPr>
        <w:tblStyle w:val="MediumGrid3-Accent51"/>
        <w:tblW w:w="9072" w:type="dxa"/>
        <w:tblLook w:val="06E0"/>
      </w:tblPr>
      <w:tblGrid>
        <w:gridCol w:w="2313"/>
        <w:gridCol w:w="1351"/>
        <w:gridCol w:w="1352"/>
        <w:gridCol w:w="1352"/>
        <w:gridCol w:w="1352"/>
        <w:gridCol w:w="1352"/>
      </w:tblGrid>
      <w:tr w:rsidR="00F85905" w:rsidRPr="006C69B9" w:rsidTr="006C69B9">
        <w:trPr>
          <w:cnfStyle w:val="100000000000"/>
          <w:trHeight w:val="20"/>
        </w:trPr>
        <w:tc>
          <w:tcPr>
            <w:cnfStyle w:val="001000000000"/>
            <w:tcW w:w="2313" w:type="dxa"/>
            <w:vMerge w:val="restart"/>
            <w:vAlign w:val="center"/>
            <w:hideMark/>
          </w:tcPr>
          <w:p w:rsidR="006C69B9" w:rsidRPr="006C69B9" w:rsidRDefault="006C69B9" w:rsidP="006C69B9">
            <w:pPr>
              <w:jc w:val="center"/>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Povrće</w:t>
            </w:r>
          </w:p>
        </w:tc>
        <w:tc>
          <w:tcPr>
            <w:tcW w:w="1351"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2015.</w:t>
            </w:r>
          </w:p>
        </w:tc>
        <w:tc>
          <w:tcPr>
            <w:tcW w:w="1352"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2016.</w:t>
            </w:r>
          </w:p>
        </w:tc>
        <w:tc>
          <w:tcPr>
            <w:tcW w:w="1352"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2017.</w:t>
            </w:r>
          </w:p>
        </w:tc>
        <w:tc>
          <w:tcPr>
            <w:tcW w:w="1352"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2018.</w:t>
            </w:r>
          </w:p>
        </w:tc>
        <w:tc>
          <w:tcPr>
            <w:tcW w:w="1352"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2019.</w:t>
            </w:r>
          </w:p>
        </w:tc>
      </w:tr>
      <w:tr w:rsidR="00F85905" w:rsidRPr="006C69B9" w:rsidTr="006C69B9">
        <w:trPr>
          <w:trHeight w:val="20"/>
        </w:trPr>
        <w:tc>
          <w:tcPr>
            <w:cnfStyle w:val="001000000000"/>
            <w:tcW w:w="2313" w:type="dxa"/>
            <w:vMerge/>
            <w:hideMark/>
          </w:tcPr>
          <w:p w:rsidR="006C69B9" w:rsidRPr="006C69B9" w:rsidRDefault="006C69B9" w:rsidP="006C69B9">
            <w:pPr>
              <w:jc w:val="center"/>
              <w:rPr>
                <w:rFonts w:ascii="Calibri" w:eastAsia="Times New Roman" w:hAnsi="Calibri" w:cs="Calibri"/>
                <w:sz w:val="20"/>
                <w:szCs w:val="20"/>
                <w:lang w:val="bs-Latn-BA" w:eastAsia="hr-HR"/>
              </w:rPr>
            </w:pPr>
          </w:p>
        </w:tc>
        <w:tc>
          <w:tcPr>
            <w:tcW w:w="1351" w:type="dxa"/>
            <w:shd w:val="clear" w:color="auto" w:fill="4BACC6"/>
            <w:hideMark/>
          </w:tcPr>
          <w:p w:rsidR="006C69B9" w:rsidRPr="006C69B9" w:rsidRDefault="006C69B9" w:rsidP="006C69B9">
            <w:pPr>
              <w:jc w:val="center"/>
              <w:cnfStyle w:val="000000000000"/>
              <w:rPr>
                <w:rFonts w:ascii="Calibri" w:eastAsia="Times New Roman" w:hAnsi="Calibri" w:cs="Calibri"/>
                <w:b/>
                <w:color w:val="FFFFFF"/>
                <w:sz w:val="20"/>
                <w:szCs w:val="20"/>
                <w:lang w:val="bs-Latn-BA" w:eastAsia="hr-HR"/>
              </w:rPr>
            </w:pPr>
            <w:r w:rsidRPr="006C69B9">
              <w:rPr>
                <w:rFonts w:ascii="Calibri" w:eastAsia="Times New Roman" w:hAnsi="Calibri" w:cs="Calibri"/>
                <w:b/>
                <w:color w:val="FFFFFF"/>
                <w:sz w:val="20"/>
                <w:szCs w:val="20"/>
                <w:lang w:val="bs-Latn-BA" w:eastAsia="hr-HR"/>
              </w:rPr>
              <w:t xml:space="preserve">količina </w:t>
            </w:r>
            <w:r w:rsidRPr="006C69B9">
              <w:rPr>
                <w:rFonts w:ascii="Calibri" w:eastAsia="Times New Roman" w:hAnsi="Calibri" w:cs="Calibri"/>
                <w:b/>
                <w:color w:val="FFFFFF"/>
                <w:sz w:val="20"/>
                <w:szCs w:val="20"/>
                <w:lang w:val="bs-Latn-BA" w:eastAsia="hr-HR"/>
              </w:rPr>
              <w:br/>
              <w:t>(u tonama)</w:t>
            </w:r>
          </w:p>
        </w:tc>
        <w:tc>
          <w:tcPr>
            <w:tcW w:w="1352" w:type="dxa"/>
            <w:shd w:val="clear" w:color="auto" w:fill="4BACC6"/>
            <w:hideMark/>
          </w:tcPr>
          <w:p w:rsidR="006C69B9" w:rsidRPr="006C69B9" w:rsidRDefault="006C69B9" w:rsidP="006C69B9">
            <w:pPr>
              <w:jc w:val="center"/>
              <w:cnfStyle w:val="000000000000"/>
              <w:rPr>
                <w:rFonts w:ascii="Calibri" w:eastAsia="Times New Roman" w:hAnsi="Calibri" w:cs="Calibri"/>
                <w:b/>
                <w:color w:val="FFFFFF"/>
                <w:sz w:val="20"/>
                <w:szCs w:val="20"/>
                <w:lang w:val="bs-Latn-BA" w:eastAsia="hr-HR"/>
              </w:rPr>
            </w:pPr>
            <w:r w:rsidRPr="006C69B9">
              <w:rPr>
                <w:rFonts w:ascii="Calibri" w:eastAsia="Times New Roman" w:hAnsi="Calibri" w:cs="Calibri"/>
                <w:b/>
                <w:color w:val="FFFFFF"/>
                <w:sz w:val="20"/>
                <w:szCs w:val="20"/>
                <w:lang w:val="bs-Latn-BA" w:eastAsia="hr-HR"/>
              </w:rPr>
              <w:t xml:space="preserve">količina </w:t>
            </w:r>
            <w:r w:rsidRPr="006C69B9">
              <w:rPr>
                <w:rFonts w:ascii="Calibri" w:eastAsia="Times New Roman" w:hAnsi="Calibri" w:cs="Calibri"/>
                <w:b/>
                <w:color w:val="FFFFFF"/>
                <w:sz w:val="20"/>
                <w:szCs w:val="20"/>
                <w:lang w:val="bs-Latn-BA" w:eastAsia="hr-HR"/>
              </w:rPr>
              <w:br/>
              <w:t>(u tonama)</w:t>
            </w:r>
          </w:p>
        </w:tc>
        <w:tc>
          <w:tcPr>
            <w:tcW w:w="1352" w:type="dxa"/>
            <w:shd w:val="clear" w:color="auto" w:fill="4BACC6"/>
            <w:hideMark/>
          </w:tcPr>
          <w:p w:rsidR="006C69B9" w:rsidRPr="006C69B9" w:rsidRDefault="006C69B9" w:rsidP="006C69B9">
            <w:pPr>
              <w:jc w:val="center"/>
              <w:cnfStyle w:val="000000000000"/>
              <w:rPr>
                <w:rFonts w:ascii="Calibri" w:eastAsia="Times New Roman" w:hAnsi="Calibri" w:cs="Calibri"/>
                <w:b/>
                <w:color w:val="FFFFFF"/>
                <w:sz w:val="20"/>
                <w:szCs w:val="20"/>
                <w:lang w:val="bs-Latn-BA" w:eastAsia="hr-HR"/>
              </w:rPr>
            </w:pPr>
            <w:r w:rsidRPr="006C69B9">
              <w:rPr>
                <w:rFonts w:ascii="Calibri" w:eastAsia="Times New Roman" w:hAnsi="Calibri" w:cs="Calibri"/>
                <w:b/>
                <w:color w:val="FFFFFF"/>
                <w:sz w:val="20"/>
                <w:szCs w:val="20"/>
                <w:lang w:val="bs-Latn-BA" w:eastAsia="hr-HR"/>
              </w:rPr>
              <w:t xml:space="preserve">količina </w:t>
            </w:r>
            <w:r w:rsidRPr="006C69B9">
              <w:rPr>
                <w:rFonts w:ascii="Calibri" w:eastAsia="Times New Roman" w:hAnsi="Calibri" w:cs="Calibri"/>
                <w:b/>
                <w:color w:val="FFFFFF"/>
                <w:sz w:val="20"/>
                <w:szCs w:val="20"/>
                <w:lang w:val="bs-Latn-BA" w:eastAsia="hr-HR"/>
              </w:rPr>
              <w:br/>
              <w:t>(u tonama)</w:t>
            </w:r>
          </w:p>
        </w:tc>
        <w:tc>
          <w:tcPr>
            <w:tcW w:w="1352" w:type="dxa"/>
            <w:shd w:val="clear" w:color="auto" w:fill="4BACC6"/>
            <w:hideMark/>
          </w:tcPr>
          <w:p w:rsidR="006C69B9" w:rsidRPr="006C69B9" w:rsidRDefault="006C69B9" w:rsidP="006C69B9">
            <w:pPr>
              <w:jc w:val="center"/>
              <w:cnfStyle w:val="000000000000"/>
              <w:rPr>
                <w:rFonts w:ascii="Calibri" w:eastAsia="Times New Roman" w:hAnsi="Calibri" w:cs="Calibri"/>
                <w:b/>
                <w:color w:val="FFFFFF"/>
                <w:sz w:val="20"/>
                <w:szCs w:val="20"/>
                <w:lang w:val="bs-Latn-BA" w:eastAsia="hr-HR"/>
              </w:rPr>
            </w:pPr>
            <w:r w:rsidRPr="006C69B9">
              <w:rPr>
                <w:rFonts w:ascii="Calibri" w:eastAsia="Times New Roman" w:hAnsi="Calibri" w:cs="Calibri"/>
                <w:b/>
                <w:color w:val="FFFFFF"/>
                <w:sz w:val="20"/>
                <w:szCs w:val="20"/>
                <w:lang w:val="bs-Latn-BA" w:eastAsia="hr-HR"/>
              </w:rPr>
              <w:t xml:space="preserve">količina </w:t>
            </w:r>
            <w:r w:rsidRPr="006C69B9">
              <w:rPr>
                <w:rFonts w:ascii="Calibri" w:eastAsia="Times New Roman" w:hAnsi="Calibri" w:cs="Calibri"/>
                <w:b/>
                <w:color w:val="FFFFFF"/>
                <w:sz w:val="20"/>
                <w:szCs w:val="20"/>
                <w:lang w:val="bs-Latn-BA" w:eastAsia="hr-HR"/>
              </w:rPr>
              <w:br/>
              <w:t>(u tonama)</w:t>
            </w:r>
          </w:p>
        </w:tc>
        <w:tc>
          <w:tcPr>
            <w:tcW w:w="1352" w:type="dxa"/>
            <w:shd w:val="clear" w:color="auto" w:fill="4BACC6"/>
            <w:hideMark/>
          </w:tcPr>
          <w:p w:rsidR="006C69B9" w:rsidRPr="006C69B9" w:rsidRDefault="006C69B9" w:rsidP="006C69B9">
            <w:pPr>
              <w:jc w:val="center"/>
              <w:cnfStyle w:val="000000000000"/>
              <w:rPr>
                <w:rFonts w:ascii="Calibri" w:eastAsia="Times New Roman" w:hAnsi="Calibri" w:cs="Calibri"/>
                <w:b/>
                <w:color w:val="FFFFFF"/>
                <w:sz w:val="20"/>
                <w:szCs w:val="20"/>
                <w:lang w:val="bs-Latn-BA" w:eastAsia="hr-HR"/>
              </w:rPr>
            </w:pPr>
            <w:r w:rsidRPr="006C69B9">
              <w:rPr>
                <w:rFonts w:ascii="Calibri" w:eastAsia="Times New Roman" w:hAnsi="Calibri" w:cs="Calibri"/>
                <w:b/>
                <w:color w:val="FFFFFF"/>
                <w:sz w:val="20"/>
                <w:szCs w:val="20"/>
                <w:lang w:val="bs-Latn-BA" w:eastAsia="hr-HR"/>
              </w:rPr>
              <w:t xml:space="preserve">količina </w:t>
            </w:r>
            <w:r w:rsidRPr="006C69B9">
              <w:rPr>
                <w:rFonts w:ascii="Calibri" w:eastAsia="Times New Roman" w:hAnsi="Calibri" w:cs="Calibri"/>
                <w:b/>
                <w:color w:val="FFFFFF"/>
                <w:sz w:val="20"/>
                <w:szCs w:val="20"/>
                <w:lang w:val="bs-Latn-BA" w:eastAsia="hr-HR"/>
              </w:rPr>
              <w:br/>
              <w:t>(u tonama)</w:t>
            </w:r>
          </w:p>
        </w:tc>
      </w:tr>
      <w:tr w:rsidR="00F85905" w:rsidRPr="006C69B9" w:rsidTr="006C69B9">
        <w:trPr>
          <w:trHeight w:val="20"/>
        </w:trPr>
        <w:tc>
          <w:tcPr>
            <w:cnfStyle w:val="001000000000"/>
            <w:tcW w:w="2313"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Krompir</w:t>
            </w:r>
          </w:p>
        </w:tc>
        <w:tc>
          <w:tcPr>
            <w:tcW w:w="1351"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26.418    </w:t>
            </w:r>
          </w:p>
        </w:tc>
        <w:tc>
          <w:tcPr>
            <w:tcW w:w="1352"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28.541    </w:t>
            </w:r>
          </w:p>
        </w:tc>
        <w:tc>
          <w:tcPr>
            <w:tcW w:w="1352" w:type="dxa"/>
            <w:noWrap/>
            <w:vAlign w:val="bottom"/>
            <w:hideMark/>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18.884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27.773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27.843    </w:t>
            </w:r>
          </w:p>
        </w:tc>
      </w:tr>
      <w:tr w:rsidR="00F85905" w:rsidRPr="006C69B9" w:rsidTr="006C69B9">
        <w:trPr>
          <w:trHeight w:val="20"/>
        </w:trPr>
        <w:tc>
          <w:tcPr>
            <w:cnfStyle w:val="001000000000"/>
            <w:tcW w:w="2313"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Luk</w:t>
            </w:r>
          </w:p>
        </w:tc>
        <w:tc>
          <w:tcPr>
            <w:tcW w:w="1351"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5.167    </w:t>
            </w:r>
          </w:p>
        </w:tc>
        <w:tc>
          <w:tcPr>
            <w:tcW w:w="1352"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5.161    </w:t>
            </w:r>
          </w:p>
        </w:tc>
        <w:tc>
          <w:tcPr>
            <w:tcW w:w="1352" w:type="dxa"/>
            <w:noWrap/>
            <w:vAlign w:val="bottom"/>
            <w:hideMark/>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4.952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5.120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4.880    </w:t>
            </w:r>
          </w:p>
        </w:tc>
      </w:tr>
      <w:tr w:rsidR="00F85905" w:rsidRPr="006C69B9" w:rsidTr="006C69B9">
        <w:trPr>
          <w:trHeight w:val="20"/>
        </w:trPr>
        <w:tc>
          <w:tcPr>
            <w:cnfStyle w:val="001000000000"/>
            <w:tcW w:w="2313"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Kupus</w:t>
            </w:r>
          </w:p>
        </w:tc>
        <w:tc>
          <w:tcPr>
            <w:tcW w:w="1351"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7.606    </w:t>
            </w:r>
          </w:p>
        </w:tc>
        <w:tc>
          <w:tcPr>
            <w:tcW w:w="1352"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8.570    </w:t>
            </w:r>
          </w:p>
        </w:tc>
        <w:tc>
          <w:tcPr>
            <w:tcW w:w="1352" w:type="dxa"/>
            <w:noWrap/>
            <w:vAlign w:val="bottom"/>
            <w:hideMark/>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4.086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9.492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9.110    </w:t>
            </w:r>
          </w:p>
        </w:tc>
      </w:tr>
      <w:tr w:rsidR="00F85905" w:rsidRPr="006C69B9" w:rsidTr="006C69B9">
        <w:trPr>
          <w:trHeight w:val="20"/>
        </w:trPr>
        <w:tc>
          <w:tcPr>
            <w:cnfStyle w:val="001000000000"/>
            <w:tcW w:w="2313"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Paradajz</w:t>
            </w:r>
          </w:p>
        </w:tc>
        <w:tc>
          <w:tcPr>
            <w:tcW w:w="1351"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11.110    </w:t>
            </w:r>
          </w:p>
        </w:tc>
        <w:tc>
          <w:tcPr>
            <w:tcW w:w="1352"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11.091    </w:t>
            </w:r>
          </w:p>
        </w:tc>
        <w:tc>
          <w:tcPr>
            <w:tcW w:w="1352" w:type="dxa"/>
            <w:noWrap/>
            <w:vAlign w:val="bottom"/>
            <w:hideMark/>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9.853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9.762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10.196    </w:t>
            </w:r>
          </w:p>
        </w:tc>
      </w:tr>
      <w:tr w:rsidR="00F85905" w:rsidRPr="006C69B9" w:rsidTr="006C69B9">
        <w:trPr>
          <w:trHeight w:val="20"/>
        </w:trPr>
        <w:tc>
          <w:tcPr>
            <w:cnfStyle w:val="001000000000"/>
            <w:tcW w:w="2313"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Paprika</w:t>
            </w:r>
          </w:p>
        </w:tc>
        <w:tc>
          <w:tcPr>
            <w:tcW w:w="1351"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6.731    </w:t>
            </w:r>
          </w:p>
        </w:tc>
        <w:tc>
          <w:tcPr>
            <w:tcW w:w="1352" w:type="dxa"/>
            <w:noWrap/>
            <w:vAlign w:val="bottom"/>
            <w:hideMark/>
          </w:tcPr>
          <w:p w:rsidR="006C69B9" w:rsidRPr="006C69B9" w:rsidRDefault="006C69B9" w:rsidP="006C69B9">
            <w:pP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6.423    </w:t>
            </w:r>
          </w:p>
        </w:tc>
        <w:tc>
          <w:tcPr>
            <w:tcW w:w="1352" w:type="dxa"/>
            <w:noWrap/>
            <w:vAlign w:val="bottom"/>
            <w:hideMark/>
          </w:tcPr>
          <w:p w:rsidR="006C69B9" w:rsidRPr="006C69B9" w:rsidRDefault="006C69B9" w:rsidP="006C69B9">
            <w:pPr>
              <w:jc w:val="center"/>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 xml:space="preserve">                6.119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6.372    </w:t>
            </w:r>
          </w:p>
        </w:tc>
        <w:tc>
          <w:tcPr>
            <w:tcW w:w="1352" w:type="dxa"/>
            <w:noWrap/>
            <w:vAlign w:val="bottom"/>
            <w:hideMark/>
          </w:tcPr>
          <w:p w:rsidR="006C69B9" w:rsidRPr="006C69B9" w:rsidRDefault="006C69B9" w:rsidP="006C69B9">
            <w:pPr>
              <w:jc w:val="center"/>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5.841    </w:t>
            </w:r>
          </w:p>
        </w:tc>
      </w:tr>
      <w:tr w:rsidR="00F85905" w:rsidRPr="006C69B9" w:rsidTr="006C69B9">
        <w:trPr>
          <w:cnfStyle w:val="010000000000"/>
          <w:trHeight w:val="20"/>
        </w:trPr>
        <w:tc>
          <w:tcPr>
            <w:cnfStyle w:val="001000000000"/>
            <w:tcW w:w="2313" w:type="dxa"/>
            <w:hideMark/>
          </w:tcPr>
          <w:p w:rsidR="006C69B9" w:rsidRPr="006C69B9" w:rsidRDefault="006C69B9" w:rsidP="006C69B9">
            <w:pPr>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Ukupno</w:t>
            </w:r>
          </w:p>
        </w:tc>
        <w:tc>
          <w:tcPr>
            <w:tcW w:w="1351" w:type="dxa"/>
            <w:noWrap/>
            <w:vAlign w:val="bottom"/>
            <w:hideMark/>
          </w:tcPr>
          <w:p w:rsidR="006C69B9" w:rsidRPr="006C69B9" w:rsidRDefault="006C69B9" w:rsidP="006C69B9">
            <w:pP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57.032    </w:t>
            </w:r>
          </w:p>
        </w:tc>
        <w:tc>
          <w:tcPr>
            <w:tcW w:w="1352" w:type="dxa"/>
            <w:noWrap/>
            <w:vAlign w:val="bottom"/>
            <w:hideMark/>
          </w:tcPr>
          <w:p w:rsidR="006C69B9" w:rsidRPr="006C69B9" w:rsidRDefault="006C69B9" w:rsidP="006C69B9">
            <w:pP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59.786    </w:t>
            </w:r>
          </w:p>
        </w:tc>
        <w:tc>
          <w:tcPr>
            <w:tcW w:w="1352" w:type="dxa"/>
            <w:noWrap/>
            <w:vAlign w:val="bottom"/>
            <w:hideMark/>
          </w:tcPr>
          <w:p w:rsidR="006C69B9" w:rsidRPr="006C69B9" w:rsidRDefault="006C69B9" w:rsidP="006C69B9">
            <w:pP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43.894    </w:t>
            </w:r>
          </w:p>
        </w:tc>
        <w:tc>
          <w:tcPr>
            <w:tcW w:w="1352" w:type="dxa"/>
            <w:noWrap/>
            <w:vAlign w:val="bottom"/>
            <w:hideMark/>
          </w:tcPr>
          <w:p w:rsidR="006C69B9" w:rsidRPr="006C69B9" w:rsidRDefault="006C69B9" w:rsidP="006C69B9">
            <w:pP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58.519    </w:t>
            </w:r>
          </w:p>
        </w:tc>
        <w:tc>
          <w:tcPr>
            <w:tcW w:w="1352" w:type="dxa"/>
            <w:noWrap/>
            <w:vAlign w:val="bottom"/>
            <w:hideMark/>
          </w:tcPr>
          <w:p w:rsidR="006C69B9" w:rsidRPr="006C69B9" w:rsidRDefault="006C69B9" w:rsidP="006C69B9">
            <w:pPr>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 xml:space="preserve">              57.870    </w:t>
            </w:r>
          </w:p>
        </w:tc>
      </w:tr>
    </w:tbl>
    <w:p w:rsidR="006C69B9" w:rsidRPr="006C69B9" w:rsidRDefault="006C69B9" w:rsidP="006C69B9">
      <w:pPr>
        <w:jc w:val="both"/>
        <w:rPr>
          <w:rFonts w:ascii="Calibri" w:eastAsia="Calibri" w:hAnsi="Calibri" w:cs="Times New Roman"/>
          <w:b/>
          <w:bCs/>
          <w:i/>
          <w:sz w:val="16"/>
          <w:szCs w:val="16"/>
          <w:lang w:val="bs-Latn-BA"/>
        </w:rPr>
      </w:pPr>
      <w:r w:rsidRPr="006C69B9">
        <w:rPr>
          <w:rFonts w:ascii="Calibri" w:eastAsia="Calibri" w:hAnsi="Calibri" w:cs="Times New Roman"/>
          <w:b/>
          <w:bCs/>
          <w:i/>
          <w:sz w:val="16"/>
          <w:szCs w:val="16"/>
          <w:lang w:val="bs-Latn-BA"/>
        </w:rPr>
        <w:t>Izvor: Federalni zavod za statistiku</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 xml:space="preserve">U strukturi voćarskih kultura zastupljena je proizvodnja jabučastog, jezgričavog, koštičavog i jagodičastog voća. U ukupnoj voćarskoj proizvodnji dominira proizvodnja jabuke (9,3 tone u 2019. godini) i breskve (8,6 tona u 2019. godini). Pored toga značajan je i uzgoj grožđa koji u posljednje tri godine bilježi značajan rast u prinosu pa je godšnji prinos u 2019. godini bio cca 30 tona.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29</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Proizvodnja voća na području Herecgovačko-neretvanskog kantona u periodu 2015.-2019. godina</w:t>
      </w:r>
    </w:p>
    <w:tbl>
      <w:tblPr>
        <w:tblStyle w:val="MediumGrid3-Accent51"/>
        <w:tblW w:w="9072" w:type="dxa"/>
        <w:tblLook w:val="06E0"/>
      </w:tblPr>
      <w:tblGrid>
        <w:gridCol w:w="2647"/>
        <w:gridCol w:w="1258"/>
        <w:gridCol w:w="1259"/>
        <w:gridCol w:w="1259"/>
        <w:gridCol w:w="1390"/>
        <w:gridCol w:w="1259"/>
      </w:tblGrid>
      <w:tr w:rsidR="00F85905" w:rsidRPr="006C69B9" w:rsidTr="006C69B9">
        <w:trPr>
          <w:cnfStyle w:val="100000000000"/>
          <w:trHeight w:val="20"/>
        </w:trPr>
        <w:tc>
          <w:tcPr>
            <w:cnfStyle w:val="001000000000"/>
            <w:tcW w:w="2647" w:type="dxa"/>
            <w:vMerge w:val="restart"/>
            <w:vAlign w:val="center"/>
            <w:hideMark/>
          </w:tcPr>
          <w:p w:rsidR="006C69B9" w:rsidRPr="006C69B9" w:rsidRDefault="006C69B9" w:rsidP="006C69B9">
            <w:pPr>
              <w:jc w:val="center"/>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Voće</w:t>
            </w:r>
          </w:p>
        </w:tc>
        <w:tc>
          <w:tcPr>
            <w:tcW w:w="1258"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2015.</w:t>
            </w:r>
          </w:p>
        </w:tc>
        <w:tc>
          <w:tcPr>
            <w:tcW w:w="1259"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2016.</w:t>
            </w:r>
          </w:p>
        </w:tc>
        <w:tc>
          <w:tcPr>
            <w:tcW w:w="1259"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2017.</w:t>
            </w:r>
          </w:p>
        </w:tc>
        <w:tc>
          <w:tcPr>
            <w:tcW w:w="1390"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2018.</w:t>
            </w:r>
          </w:p>
        </w:tc>
        <w:tc>
          <w:tcPr>
            <w:tcW w:w="1259" w:type="dxa"/>
            <w:hideMark/>
          </w:tcPr>
          <w:p w:rsidR="006C69B9" w:rsidRPr="006C69B9" w:rsidRDefault="006C69B9" w:rsidP="006C69B9">
            <w:pPr>
              <w:jc w:val="center"/>
              <w:cnfStyle w:val="1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2019.</w:t>
            </w:r>
          </w:p>
        </w:tc>
      </w:tr>
      <w:tr w:rsidR="00F85905" w:rsidRPr="006C69B9" w:rsidTr="006C69B9">
        <w:trPr>
          <w:trHeight w:val="20"/>
        </w:trPr>
        <w:tc>
          <w:tcPr>
            <w:cnfStyle w:val="001000000000"/>
            <w:tcW w:w="2647" w:type="dxa"/>
            <w:vMerge/>
            <w:hideMark/>
          </w:tcPr>
          <w:p w:rsidR="006C69B9" w:rsidRPr="006C69B9" w:rsidRDefault="006C69B9" w:rsidP="006C69B9">
            <w:pPr>
              <w:jc w:val="center"/>
              <w:rPr>
                <w:rFonts w:ascii="Calibri" w:eastAsia="Times New Roman" w:hAnsi="Calibri" w:cs="Calibri"/>
                <w:sz w:val="20"/>
                <w:szCs w:val="20"/>
                <w:lang w:val="bs-Latn-BA" w:eastAsia="hr-HR"/>
              </w:rPr>
            </w:pPr>
          </w:p>
        </w:tc>
        <w:tc>
          <w:tcPr>
            <w:tcW w:w="1258" w:type="dxa"/>
            <w:shd w:val="clear" w:color="auto" w:fill="4BACC6"/>
            <w:hideMark/>
          </w:tcPr>
          <w:p w:rsidR="006C69B9" w:rsidRPr="006C69B9" w:rsidRDefault="006C69B9" w:rsidP="006C69B9">
            <w:pPr>
              <w:jc w:val="center"/>
              <w:cnfStyle w:val="000000000000"/>
              <w:rPr>
                <w:rFonts w:ascii="Calibri" w:eastAsia="Times New Roman" w:hAnsi="Calibri" w:cs="Calibri"/>
                <w:color w:val="FFFFFF"/>
                <w:sz w:val="20"/>
                <w:szCs w:val="20"/>
                <w:lang w:val="bs-Latn-BA" w:eastAsia="hr-HR"/>
              </w:rPr>
            </w:pPr>
            <w:r w:rsidRPr="006C69B9">
              <w:rPr>
                <w:rFonts w:ascii="Calibri" w:eastAsia="Times New Roman" w:hAnsi="Calibri" w:cs="Calibri"/>
                <w:color w:val="FFFFFF"/>
                <w:sz w:val="20"/>
                <w:szCs w:val="20"/>
                <w:lang w:val="bs-Latn-BA" w:eastAsia="hr-HR"/>
              </w:rPr>
              <w:t xml:space="preserve">količina </w:t>
            </w:r>
            <w:r w:rsidRPr="006C69B9">
              <w:rPr>
                <w:rFonts w:ascii="Calibri" w:eastAsia="Times New Roman" w:hAnsi="Calibri" w:cs="Calibri"/>
                <w:color w:val="FFFFFF"/>
                <w:sz w:val="20"/>
                <w:szCs w:val="20"/>
                <w:lang w:val="bs-Latn-BA" w:eastAsia="hr-HR"/>
              </w:rPr>
              <w:br/>
              <w:t>(u tonama)</w:t>
            </w:r>
          </w:p>
        </w:tc>
        <w:tc>
          <w:tcPr>
            <w:tcW w:w="1259" w:type="dxa"/>
            <w:shd w:val="clear" w:color="auto" w:fill="4BACC6"/>
            <w:hideMark/>
          </w:tcPr>
          <w:p w:rsidR="006C69B9" w:rsidRPr="006C69B9" w:rsidRDefault="006C69B9" w:rsidP="006C69B9">
            <w:pPr>
              <w:jc w:val="center"/>
              <w:cnfStyle w:val="000000000000"/>
              <w:rPr>
                <w:rFonts w:ascii="Calibri" w:eastAsia="Times New Roman" w:hAnsi="Calibri" w:cs="Calibri"/>
                <w:color w:val="FFFFFF"/>
                <w:sz w:val="20"/>
                <w:szCs w:val="20"/>
                <w:lang w:val="bs-Latn-BA" w:eastAsia="hr-HR"/>
              </w:rPr>
            </w:pPr>
            <w:r w:rsidRPr="006C69B9">
              <w:rPr>
                <w:rFonts w:ascii="Calibri" w:eastAsia="Times New Roman" w:hAnsi="Calibri" w:cs="Calibri"/>
                <w:color w:val="FFFFFF"/>
                <w:sz w:val="20"/>
                <w:szCs w:val="20"/>
                <w:lang w:val="bs-Latn-BA" w:eastAsia="hr-HR"/>
              </w:rPr>
              <w:t xml:space="preserve">količina </w:t>
            </w:r>
            <w:r w:rsidRPr="006C69B9">
              <w:rPr>
                <w:rFonts w:ascii="Calibri" w:eastAsia="Times New Roman" w:hAnsi="Calibri" w:cs="Calibri"/>
                <w:color w:val="FFFFFF"/>
                <w:sz w:val="20"/>
                <w:szCs w:val="20"/>
                <w:lang w:val="bs-Latn-BA" w:eastAsia="hr-HR"/>
              </w:rPr>
              <w:br/>
              <w:t>(u tonama)</w:t>
            </w:r>
          </w:p>
        </w:tc>
        <w:tc>
          <w:tcPr>
            <w:tcW w:w="1259" w:type="dxa"/>
            <w:shd w:val="clear" w:color="auto" w:fill="4BACC6"/>
            <w:hideMark/>
          </w:tcPr>
          <w:p w:rsidR="006C69B9" w:rsidRPr="006C69B9" w:rsidRDefault="006C69B9" w:rsidP="006C69B9">
            <w:pPr>
              <w:jc w:val="center"/>
              <w:cnfStyle w:val="000000000000"/>
              <w:rPr>
                <w:rFonts w:ascii="Calibri" w:eastAsia="Times New Roman" w:hAnsi="Calibri" w:cs="Calibri"/>
                <w:color w:val="FFFFFF"/>
                <w:sz w:val="20"/>
                <w:szCs w:val="20"/>
                <w:lang w:val="bs-Latn-BA" w:eastAsia="hr-HR"/>
              </w:rPr>
            </w:pPr>
            <w:r w:rsidRPr="006C69B9">
              <w:rPr>
                <w:rFonts w:ascii="Calibri" w:eastAsia="Times New Roman" w:hAnsi="Calibri" w:cs="Calibri"/>
                <w:color w:val="FFFFFF"/>
                <w:sz w:val="20"/>
                <w:szCs w:val="20"/>
                <w:lang w:val="bs-Latn-BA" w:eastAsia="hr-HR"/>
              </w:rPr>
              <w:t xml:space="preserve">količina </w:t>
            </w:r>
            <w:r w:rsidRPr="006C69B9">
              <w:rPr>
                <w:rFonts w:ascii="Calibri" w:eastAsia="Times New Roman" w:hAnsi="Calibri" w:cs="Calibri"/>
                <w:color w:val="FFFFFF"/>
                <w:sz w:val="20"/>
                <w:szCs w:val="20"/>
                <w:lang w:val="bs-Latn-BA" w:eastAsia="hr-HR"/>
              </w:rPr>
              <w:br/>
              <w:t>(u tonama)</w:t>
            </w:r>
          </w:p>
        </w:tc>
        <w:tc>
          <w:tcPr>
            <w:tcW w:w="1390" w:type="dxa"/>
            <w:shd w:val="clear" w:color="auto" w:fill="4BACC6"/>
            <w:hideMark/>
          </w:tcPr>
          <w:p w:rsidR="006C69B9" w:rsidRPr="006C69B9" w:rsidRDefault="006C69B9" w:rsidP="006C69B9">
            <w:pPr>
              <w:jc w:val="center"/>
              <w:cnfStyle w:val="000000000000"/>
              <w:rPr>
                <w:rFonts w:ascii="Calibri" w:eastAsia="Times New Roman" w:hAnsi="Calibri" w:cs="Calibri"/>
                <w:color w:val="FFFFFF"/>
                <w:sz w:val="20"/>
                <w:szCs w:val="20"/>
                <w:lang w:val="bs-Latn-BA" w:eastAsia="hr-HR"/>
              </w:rPr>
            </w:pPr>
            <w:r w:rsidRPr="006C69B9">
              <w:rPr>
                <w:rFonts w:ascii="Calibri" w:eastAsia="Times New Roman" w:hAnsi="Calibri" w:cs="Calibri"/>
                <w:color w:val="FFFFFF"/>
                <w:sz w:val="20"/>
                <w:szCs w:val="20"/>
                <w:lang w:val="bs-Latn-BA" w:eastAsia="hr-HR"/>
              </w:rPr>
              <w:t xml:space="preserve">količina </w:t>
            </w:r>
            <w:r w:rsidRPr="006C69B9">
              <w:rPr>
                <w:rFonts w:ascii="Calibri" w:eastAsia="Times New Roman" w:hAnsi="Calibri" w:cs="Calibri"/>
                <w:color w:val="FFFFFF"/>
                <w:sz w:val="20"/>
                <w:szCs w:val="20"/>
                <w:lang w:val="bs-Latn-BA" w:eastAsia="hr-HR"/>
              </w:rPr>
              <w:br/>
              <w:t>(u tonama)</w:t>
            </w:r>
          </w:p>
        </w:tc>
        <w:tc>
          <w:tcPr>
            <w:tcW w:w="1259" w:type="dxa"/>
            <w:shd w:val="clear" w:color="auto" w:fill="4BACC6"/>
            <w:hideMark/>
          </w:tcPr>
          <w:p w:rsidR="006C69B9" w:rsidRPr="006C69B9" w:rsidRDefault="006C69B9" w:rsidP="006C69B9">
            <w:pPr>
              <w:jc w:val="center"/>
              <w:cnfStyle w:val="000000000000"/>
              <w:rPr>
                <w:rFonts w:ascii="Calibri" w:eastAsia="Times New Roman" w:hAnsi="Calibri" w:cs="Calibri"/>
                <w:color w:val="FFFFFF"/>
                <w:sz w:val="20"/>
                <w:szCs w:val="20"/>
                <w:lang w:val="bs-Latn-BA" w:eastAsia="hr-HR"/>
              </w:rPr>
            </w:pPr>
            <w:r w:rsidRPr="006C69B9">
              <w:rPr>
                <w:rFonts w:ascii="Calibri" w:eastAsia="Times New Roman" w:hAnsi="Calibri" w:cs="Calibri"/>
                <w:color w:val="FFFFFF"/>
                <w:sz w:val="20"/>
                <w:szCs w:val="20"/>
                <w:lang w:val="bs-Latn-BA" w:eastAsia="hr-HR"/>
              </w:rPr>
              <w:t xml:space="preserve">količina </w:t>
            </w:r>
            <w:r w:rsidRPr="006C69B9">
              <w:rPr>
                <w:rFonts w:ascii="Calibri" w:eastAsia="Times New Roman" w:hAnsi="Calibri" w:cs="Calibri"/>
                <w:color w:val="FFFFFF"/>
                <w:sz w:val="20"/>
                <w:szCs w:val="20"/>
                <w:lang w:val="bs-Latn-BA" w:eastAsia="hr-HR"/>
              </w:rPr>
              <w:br/>
              <w:t>(u tonama)</w:t>
            </w:r>
          </w:p>
        </w:tc>
      </w:tr>
      <w:tr w:rsidR="00F85905" w:rsidRPr="006C69B9" w:rsidTr="006C69B9">
        <w:trPr>
          <w:trHeight w:val="20"/>
        </w:trPr>
        <w:tc>
          <w:tcPr>
            <w:cnfStyle w:val="001000000000"/>
            <w:tcW w:w="2647"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Trešnje</w:t>
            </w:r>
          </w:p>
        </w:tc>
        <w:tc>
          <w:tcPr>
            <w:tcW w:w="1258"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1.534</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1.581</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1.406</w:t>
            </w:r>
          </w:p>
        </w:tc>
        <w:tc>
          <w:tcPr>
            <w:tcW w:w="1390"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1.874</w:t>
            </w:r>
          </w:p>
        </w:tc>
        <w:tc>
          <w:tcPr>
            <w:tcW w:w="1259"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1.606</w:t>
            </w:r>
          </w:p>
        </w:tc>
      </w:tr>
      <w:tr w:rsidR="00F85905" w:rsidRPr="006C69B9" w:rsidTr="006C69B9">
        <w:trPr>
          <w:trHeight w:val="20"/>
        </w:trPr>
        <w:tc>
          <w:tcPr>
            <w:cnfStyle w:val="001000000000"/>
            <w:tcW w:w="2647"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Jabuke</w:t>
            </w:r>
          </w:p>
        </w:tc>
        <w:tc>
          <w:tcPr>
            <w:tcW w:w="1258"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7.652</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8.832</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6.196</w:t>
            </w:r>
          </w:p>
        </w:tc>
        <w:tc>
          <w:tcPr>
            <w:tcW w:w="1390"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10.129</w:t>
            </w:r>
          </w:p>
        </w:tc>
        <w:tc>
          <w:tcPr>
            <w:tcW w:w="1259"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9.306</w:t>
            </w:r>
          </w:p>
        </w:tc>
      </w:tr>
      <w:tr w:rsidR="00F85905" w:rsidRPr="006C69B9" w:rsidTr="006C69B9">
        <w:trPr>
          <w:trHeight w:val="20"/>
        </w:trPr>
        <w:tc>
          <w:tcPr>
            <w:cnfStyle w:val="001000000000"/>
            <w:tcW w:w="2647"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Šljive</w:t>
            </w:r>
          </w:p>
        </w:tc>
        <w:tc>
          <w:tcPr>
            <w:tcW w:w="1258"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2.204</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2.609</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500</w:t>
            </w:r>
          </w:p>
        </w:tc>
        <w:tc>
          <w:tcPr>
            <w:tcW w:w="1390"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5.050</w:t>
            </w:r>
          </w:p>
        </w:tc>
        <w:tc>
          <w:tcPr>
            <w:tcW w:w="1259"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1.298</w:t>
            </w:r>
          </w:p>
        </w:tc>
      </w:tr>
      <w:tr w:rsidR="00F85905" w:rsidRPr="006C69B9" w:rsidTr="006C69B9">
        <w:trPr>
          <w:trHeight w:val="20"/>
        </w:trPr>
        <w:tc>
          <w:tcPr>
            <w:cnfStyle w:val="001000000000"/>
            <w:tcW w:w="2647"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Breskve</w:t>
            </w:r>
          </w:p>
        </w:tc>
        <w:tc>
          <w:tcPr>
            <w:tcW w:w="1258"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6.316</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6.075</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4.079</w:t>
            </w:r>
          </w:p>
        </w:tc>
        <w:tc>
          <w:tcPr>
            <w:tcW w:w="1390"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7.386</w:t>
            </w:r>
          </w:p>
        </w:tc>
        <w:tc>
          <w:tcPr>
            <w:tcW w:w="1259"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8.678</w:t>
            </w:r>
          </w:p>
        </w:tc>
      </w:tr>
      <w:tr w:rsidR="00F85905" w:rsidRPr="006C69B9" w:rsidTr="006C69B9">
        <w:trPr>
          <w:trHeight w:val="20"/>
        </w:trPr>
        <w:tc>
          <w:tcPr>
            <w:cnfStyle w:val="001000000000"/>
            <w:tcW w:w="2647" w:type="dxa"/>
            <w:hideMark/>
          </w:tcPr>
          <w:p w:rsidR="006C69B9" w:rsidRPr="006C69B9" w:rsidRDefault="006C69B9" w:rsidP="006C69B9">
            <w:pPr>
              <w:ind w:firstLineChars="100" w:firstLine="201"/>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 xml:space="preserve">Grožđe </w:t>
            </w:r>
          </w:p>
        </w:tc>
        <w:tc>
          <w:tcPr>
            <w:tcW w:w="1258"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w:t>
            </w:r>
          </w:p>
        </w:tc>
        <w:tc>
          <w:tcPr>
            <w:tcW w:w="1259" w:type="dxa"/>
            <w:noWrap/>
            <w:hideMark/>
          </w:tcPr>
          <w:p w:rsidR="006C69B9" w:rsidRPr="006C69B9" w:rsidRDefault="006C69B9" w:rsidP="006C69B9">
            <w:pPr>
              <w:jc w:val="right"/>
              <w:cnfStyle w:val="000000000000"/>
              <w:rPr>
                <w:rFonts w:ascii="Calibri" w:eastAsia="Times New Roman" w:hAnsi="Calibri" w:cs="Calibri"/>
                <w:color w:val="000000"/>
                <w:sz w:val="20"/>
                <w:szCs w:val="20"/>
                <w:lang w:val="bs-Latn-BA" w:eastAsia="hr-HR"/>
              </w:rPr>
            </w:pPr>
            <w:r w:rsidRPr="006C69B9">
              <w:rPr>
                <w:rFonts w:ascii="Calibri" w:eastAsia="Times New Roman" w:hAnsi="Calibri" w:cs="Calibri"/>
                <w:color w:val="000000"/>
                <w:sz w:val="20"/>
                <w:szCs w:val="20"/>
                <w:lang w:val="bs-Latn-BA" w:eastAsia="hr-HR"/>
              </w:rPr>
              <w:t>18.350</w:t>
            </w:r>
          </w:p>
        </w:tc>
        <w:tc>
          <w:tcPr>
            <w:tcW w:w="1390"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31.030</w:t>
            </w:r>
          </w:p>
        </w:tc>
        <w:tc>
          <w:tcPr>
            <w:tcW w:w="1259" w:type="dxa"/>
            <w:noWrap/>
            <w:hideMark/>
          </w:tcPr>
          <w:p w:rsidR="006C69B9" w:rsidRPr="006C69B9" w:rsidRDefault="006C69B9" w:rsidP="006C69B9">
            <w:pPr>
              <w:jc w:val="right"/>
              <w:cnfStyle w:val="00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29.013</w:t>
            </w:r>
          </w:p>
        </w:tc>
      </w:tr>
      <w:tr w:rsidR="00F85905" w:rsidRPr="006C69B9" w:rsidTr="006C69B9">
        <w:trPr>
          <w:cnfStyle w:val="010000000000"/>
          <w:trHeight w:val="20"/>
        </w:trPr>
        <w:tc>
          <w:tcPr>
            <w:cnfStyle w:val="001000000000"/>
            <w:tcW w:w="2647" w:type="dxa"/>
            <w:hideMark/>
          </w:tcPr>
          <w:p w:rsidR="006C69B9" w:rsidRPr="006C69B9" w:rsidRDefault="006C69B9" w:rsidP="006C69B9">
            <w:pPr>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Ukupno</w:t>
            </w:r>
          </w:p>
        </w:tc>
        <w:tc>
          <w:tcPr>
            <w:tcW w:w="1258" w:type="dxa"/>
            <w:noWrap/>
            <w:hideMark/>
          </w:tcPr>
          <w:p w:rsidR="006C69B9" w:rsidRPr="006C69B9" w:rsidRDefault="006C69B9" w:rsidP="006C69B9">
            <w:pPr>
              <w:jc w:val="right"/>
              <w:cnfStyle w:val="01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 xml:space="preserve"> 17.712</w:t>
            </w:r>
          </w:p>
        </w:tc>
        <w:tc>
          <w:tcPr>
            <w:tcW w:w="1259" w:type="dxa"/>
            <w:noWrap/>
            <w:hideMark/>
          </w:tcPr>
          <w:p w:rsidR="006C69B9" w:rsidRPr="006C69B9" w:rsidRDefault="006C69B9" w:rsidP="006C69B9">
            <w:pPr>
              <w:jc w:val="right"/>
              <w:cnfStyle w:val="01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 xml:space="preserve"> 19.097</w:t>
            </w:r>
          </w:p>
        </w:tc>
        <w:tc>
          <w:tcPr>
            <w:tcW w:w="1259" w:type="dxa"/>
            <w:noWrap/>
            <w:hideMark/>
          </w:tcPr>
          <w:p w:rsidR="006C69B9" w:rsidRPr="006C69B9" w:rsidRDefault="006C69B9" w:rsidP="006C69B9">
            <w:pPr>
              <w:jc w:val="right"/>
              <w:cnfStyle w:val="01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30.531</w:t>
            </w:r>
          </w:p>
        </w:tc>
        <w:tc>
          <w:tcPr>
            <w:tcW w:w="1390" w:type="dxa"/>
            <w:noWrap/>
            <w:hideMark/>
          </w:tcPr>
          <w:p w:rsidR="006C69B9" w:rsidRPr="006C69B9" w:rsidRDefault="006C69B9" w:rsidP="006C69B9">
            <w:pPr>
              <w:jc w:val="right"/>
              <w:cnfStyle w:val="01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55.469</w:t>
            </w:r>
          </w:p>
        </w:tc>
        <w:tc>
          <w:tcPr>
            <w:tcW w:w="1259" w:type="dxa"/>
            <w:noWrap/>
            <w:hideMark/>
          </w:tcPr>
          <w:p w:rsidR="006C69B9" w:rsidRPr="006C69B9" w:rsidRDefault="006C69B9" w:rsidP="006C69B9">
            <w:pPr>
              <w:jc w:val="right"/>
              <w:cnfStyle w:val="010000000000"/>
              <w:rPr>
                <w:rFonts w:ascii="Calibri" w:eastAsia="Times New Roman" w:hAnsi="Calibri" w:cs="Calibri"/>
                <w:sz w:val="20"/>
                <w:szCs w:val="20"/>
                <w:lang w:val="bs-Latn-BA" w:eastAsia="hr-HR"/>
              </w:rPr>
            </w:pPr>
            <w:r w:rsidRPr="006C69B9">
              <w:rPr>
                <w:rFonts w:ascii="Calibri" w:eastAsia="Times New Roman" w:hAnsi="Calibri" w:cs="Calibri"/>
                <w:sz w:val="20"/>
                <w:szCs w:val="20"/>
                <w:lang w:val="bs-Latn-BA" w:eastAsia="hr-HR"/>
              </w:rPr>
              <w:t>49.901</w:t>
            </w:r>
          </w:p>
        </w:tc>
      </w:tr>
    </w:tbl>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Times New Roman"/>
          <w:b/>
          <w:bCs/>
          <w:i/>
          <w:sz w:val="16"/>
          <w:szCs w:val="16"/>
          <w:lang w:val="bs-Latn-BA"/>
        </w:rPr>
        <w:t>Izvor: Federalni zavod za statistiku</w:t>
      </w:r>
    </w:p>
    <w:p w:rsidR="006C69B9" w:rsidRPr="006C69B9" w:rsidRDefault="006C69B9" w:rsidP="006C69B9">
      <w:pPr>
        <w:jc w:val="both"/>
        <w:rPr>
          <w:rFonts w:ascii="Calibri" w:eastAsia="Calibri" w:hAnsi="Calibri" w:cs="Calibri"/>
        </w:rPr>
      </w:pPr>
      <w:r w:rsidRPr="006C69B9">
        <w:rPr>
          <w:rFonts w:ascii="Calibri" w:eastAsia="Calibri" w:hAnsi="Calibri" w:cs="Calibri"/>
          <w:lang w:val="bs-Latn-BA"/>
        </w:rPr>
        <w:t xml:space="preserve">Na području HNŽ/K značajne površine se koriste u proizvodnji vinove loze (vinsko i stolno grožđe). Ukupan broj trsova loze iznosi 8.825.620 ( od čega 500.000 je stolnoga grožđa, a ostalo je vinsko grožđe). Od ukupnog broja hektara (2.840) prema statističkim podatcima (Federalni zavod za </w:t>
      </w:r>
      <w:r w:rsidRPr="006C69B9">
        <w:rPr>
          <w:rFonts w:ascii="Calibri" w:eastAsia="Calibri" w:hAnsi="Calibri" w:cs="Calibri"/>
          <w:lang w:val="bs-Latn-BA"/>
        </w:rPr>
        <w:lastRenderedPageBreak/>
        <w:t>programiranje razvoja, 2015, str,. 56.) na HNŽ/K otpada 1.862 ha ili 65,56%. Najveći potencijal leži u razvitku proizvodnje ranoga povrća, vinogradarstva, uzgoju ljekovitoga bilja i mediteranskih voćnih vrsta (šipak, maslina, smokva).</w:t>
      </w:r>
      <w:r w:rsidRPr="006C69B9">
        <w:rPr>
          <w:rFonts w:ascii="Calibri" w:eastAsia="Calibri" w:hAnsi="Calibri" w:cs="Calibri"/>
        </w:rPr>
        <w:t xml:space="preserve"> Maslina i aromatsko i ljekovito bilje su dvije iznimno neprofitabilne grane poljoprivrede</w:t>
      </w: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b/>
          <w:lang w:val="bs-Latn-BA"/>
        </w:rPr>
        <w:t>Animalna proizvodnja.</w:t>
      </w:r>
      <w:r w:rsidRPr="006C69B9">
        <w:rPr>
          <w:rFonts w:ascii="Calibri" w:eastAsia="Calibri" w:hAnsi="Calibri" w:cs="Calibri"/>
          <w:lang w:val="bs-Latn-BA"/>
        </w:rPr>
        <w:t xml:space="preserve"> U strukturi animalne proizvodnje na području HNŽ/K najveći značaj ima proizvodnja mlijeka (19.577 tisuća litara u 2019 godini). Prosječna proizvodnja mlijeka od 1.981 litara po kravi je skoro 3 puta manja u odnosu na prosjek EU-28. Brojno stanje stoke prema statističkim izvorima ima trend smanjenja izuzev proizvodnje jaja i meda.</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30</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Brojno stanje stoke i stočna proizvodnja na području Herecgovačko-neretvanskog kantona </w:t>
      </w:r>
      <w:r w:rsidRPr="006C69B9">
        <w:rPr>
          <w:rFonts w:ascii="Calibri" w:eastAsia="Calibri" w:hAnsi="Calibri" w:cs="Calibri Light"/>
          <w:bCs/>
          <w:i/>
          <w:color w:val="31849B"/>
          <w:sz w:val="20"/>
        </w:rPr>
        <w:br/>
        <w:t>u periodu 2015.-2019. godina</w:t>
      </w:r>
    </w:p>
    <w:tbl>
      <w:tblPr>
        <w:tblStyle w:val="MediumGrid3-Accent51"/>
        <w:tblW w:w="9072" w:type="dxa"/>
        <w:tblLayout w:type="fixed"/>
        <w:tblLook w:val="06A0"/>
      </w:tblPr>
      <w:tblGrid>
        <w:gridCol w:w="3686"/>
        <w:gridCol w:w="1077"/>
        <w:gridCol w:w="1077"/>
        <w:gridCol w:w="1077"/>
        <w:gridCol w:w="1077"/>
        <w:gridCol w:w="1078"/>
      </w:tblGrid>
      <w:tr w:rsidR="00F85905" w:rsidRPr="006C69B9" w:rsidTr="006C69B9">
        <w:trPr>
          <w:cnfStyle w:val="100000000000"/>
          <w:trHeight w:val="227"/>
        </w:trPr>
        <w:tc>
          <w:tcPr>
            <w:cnfStyle w:val="001000000000"/>
            <w:tcW w:w="3686" w:type="dxa"/>
            <w:hideMark/>
          </w:tcPr>
          <w:p w:rsidR="006C69B9" w:rsidRPr="006C69B9" w:rsidRDefault="006C69B9" w:rsidP="006C69B9">
            <w:pPr>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Stočarstvo i peradarstvo</w:t>
            </w:r>
          </w:p>
        </w:tc>
        <w:tc>
          <w:tcPr>
            <w:tcW w:w="1077" w:type="dxa"/>
            <w:hideMark/>
          </w:tcPr>
          <w:p w:rsidR="006C69B9" w:rsidRPr="006C69B9" w:rsidRDefault="006C69B9" w:rsidP="006C69B9">
            <w:pPr>
              <w:jc w:val="center"/>
              <w:cnfStyle w:val="100000000000"/>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2015.</w:t>
            </w:r>
          </w:p>
        </w:tc>
        <w:tc>
          <w:tcPr>
            <w:tcW w:w="1077" w:type="dxa"/>
            <w:hideMark/>
          </w:tcPr>
          <w:p w:rsidR="006C69B9" w:rsidRPr="006C69B9" w:rsidRDefault="006C69B9" w:rsidP="006C69B9">
            <w:pPr>
              <w:jc w:val="center"/>
              <w:cnfStyle w:val="100000000000"/>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2016.</w:t>
            </w:r>
          </w:p>
        </w:tc>
        <w:tc>
          <w:tcPr>
            <w:tcW w:w="1077" w:type="dxa"/>
            <w:hideMark/>
          </w:tcPr>
          <w:p w:rsidR="006C69B9" w:rsidRPr="006C69B9" w:rsidRDefault="006C69B9" w:rsidP="006C69B9">
            <w:pPr>
              <w:jc w:val="center"/>
              <w:cnfStyle w:val="100000000000"/>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2017.</w:t>
            </w:r>
          </w:p>
        </w:tc>
        <w:tc>
          <w:tcPr>
            <w:tcW w:w="1077" w:type="dxa"/>
            <w:hideMark/>
          </w:tcPr>
          <w:p w:rsidR="006C69B9" w:rsidRPr="006C69B9" w:rsidRDefault="006C69B9" w:rsidP="006C69B9">
            <w:pPr>
              <w:jc w:val="center"/>
              <w:cnfStyle w:val="100000000000"/>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2018.</w:t>
            </w:r>
          </w:p>
        </w:tc>
        <w:tc>
          <w:tcPr>
            <w:tcW w:w="1078" w:type="dxa"/>
            <w:hideMark/>
          </w:tcPr>
          <w:p w:rsidR="006C69B9" w:rsidRPr="006C69B9" w:rsidRDefault="006C69B9" w:rsidP="006C69B9">
            <w:pPr>
              <w:jc w:val="center"/>
              <w:cnfStyle w:val="100000000000"/>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2019.</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Broj grla stoke</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11.838</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11.623</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11.424</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10.640</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9.881</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Broj grla ovaca</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90.770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89.620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95.890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94.034</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94.872</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Broj koza</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10.880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11.430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12.225</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11.665</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11.737</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Broj svinja</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10.745</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10.191</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14.984</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11.312</w:t>
            </w:r>
          </w:p>
        </w:tc>
        <w:tc>
          <w:tcPr>
            <w:tcW w:w="1078" w:type="dxa"/>
            <w:noWrap/>
            <w:vAlign w:val="center"/>
            <w:hideMark/>
          </w:tcPr>
          <w:p w:rsidR="006C69B9" w:rsidRPr="006C69B9" w:rsidRDefault="006C69B9" w:rsidP="006C69B9">
            <w:pPr>
              <w:jc w:val="right"/>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9.994</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Broj grla peradi</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160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162</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154</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381</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162</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Broj košnica pčela</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34.307</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33.698</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34.600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39.160</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42.721</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Proizvodnja jaja (000 kom)</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26.625</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23.975</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22.898</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23.423</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27.872</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Proizvodnja kravljeg mlijeka(000 litara)</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22.363</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22.748</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22.387</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21.383</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19.577</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Proizvodnja ovčijeg mlijeka(000 litara)</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2.404</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2.475</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2.462</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2.401</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2.359</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Proizvodnja kozijeg mlijeka(000 litara)</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1.269</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1.623</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1.424</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1.770</w:t>
            </w:r>
          </w:p>
        </w:tc>
        <w:tc>
          <w:tcPr>
            <w:tcW w:w="1078" w:type="dxa"/>
            <w:noWrap/>
            <w:vAlign w:val="center"/>
            <w:hideMark/>
          </w:tcPr>
          <w:p w:rsidR="006C69B9" w:rsidRPr="006C69B9" w:rsidRDefault="006C69B9" w:rsidP="006C69B9">
            <w:pPr>
              <w:jc w:val="right"/>
              <w:cnfStyle w:val="000000000000"/>
              <w:rPr>
                <w:rFonts w:ascii="Calibri" w:eastAsia="Calibri" w:hAnsi="Calibri" w:cs="Calibri"/>
                <w:color w:val="000000"/>
                <w:sz w:val="18"/>
                <w:szCs w:val="18"/>
                <w:lang w:val="bs-Latn-BA"/>
              </w:rPr>
            </w:pPr>
            <w:r w:rsidRPr="006C69B9">
              <w:rPr>
                <w:rFonts w:ascii="Calibri" w:eastAsia="Calibri" w:hAnsi="Calibri" w:cs="Calibri"/>
                <w:color w:val="000000"/>
                <w:sz w:val="18"/>
                <w:szCs w:val="18"/>
                <w:lang w:val="bs-Latn-BA"/>
              </w:rPr>
              <w:t>1.727</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Proizvodnja meda (000 kg)</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340</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268</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208</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367</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374</w:t>
            </w:r>
          </w:p>
        </w:tc>
      </w:tr>
      <w:tr w:rsidR="00F85905" w:rsidRPr="006C69B9" w:rsidTr="006C69B9">
        <w:trPr>
          <w:trHeight w:val="227"/>
        </w:trPr>
        <w:tc>
          <w:tcPr>
            <w:cnfStyle w:val="001000000000"/>
            <w:tcW w:w="3686" w:type="dxa"/>
            <w:hideMark/>
          </w:tcPr>
          <w:p w:rsidR="006C69B9" w:rsidRPr="006C69B9" w:rsidRDefault="006C69B9" w:rsidP="006C69B9">
            <w:pPr>
              <w:ind w:firstLineChars="100" w:firstLine="181"/>
              <w:rPr>
                <w:rFonts w:ascii="Calibri" w:eastAsia="Times New Roman" w:hAnsi="Calibri" w:cs="Calibri"/>
                <w:sz w:val="18"/>
                <w:szCs w:val="18"/>
                <w:lang w:val="bs-Latn-BA" w:eastAsia="hr-HR"/>
              </w:rPr>
            </w:pPr>
            <w:r w:rsidRPr="006C69B9">
              <w:rPr>
                <w:rFonts w:ascii="Calibri" w:eastAsia="Times New Roman" w:hAnsi="Calibri" w:cs="Calibri"/>
                <w:sz w:val="18"/>
                <w:szCs w:val="18"/>
                <w:lang w:val="bs-Latn-BA" w:eastAsia="hr-HR"/>
              </w:rPr>
              <w:t>Proizvodnja vune(000 kg)</w:t>
            </w:r>
          </w:p>
        </w:tc>
        <w:tc>
          <w:tcPr>
            <w:tcW w:w="1077" w:type="dxa"/>
            <w:noWrap/>
            <w:vAlign w:val="center"/>
          </w:tcPr>
          <w:p w:rsidR="006C69B9" w:rsidRPr="006C69B9" w:rsidRDefault="006C69B9" w:rsidP="006C69B9">
            <w:pPr>
              <w:contextualSpacing/>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108</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112</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113</w:t>
            </w:r>
          </w:p>
        </w:tc>
        <w:tc>
          <w:tcPr>
            <w:tcW w:w="1077"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113</w:t>
            </w:r>
          </w:p>
        </w:tc>
        <w:tc>
          <w:tcPr>
            <w:tcW w:w="1078" w:type="dxa"/>
            <w:noWrap/>
            <w:vAlign w:val="center"/>
            <w:hideMark/>
          </w:tcPr>
          <w:p w:rsidR="006C69B9" w:rsidRPr="006C69B9" w:rsidRDefault="006C69B9" w:rsidP="006C69B9">
            <w:pPr>
              <w:jc w:val="right"/>
              <w:cnfStyle w:val="000000000000"/>
              <w:rPr>
                <w:rFonts w:ascii="Calibri" w:eastAsia="Calibri" w:hAnsi="Calibri" w:cs="Calibri"/>
                <w:sz w:val="18"/>
                <w:szCs w:val="18"/>
                <w:lang w:val="bs-Latn-BA"/>
              </w:rPr>
            </w:pPr>
            <w:r w:rsidRPr="006C69B9">
              <w:rPr>
                <w:rFonts w:ascii="Calibri" w:eastAsia="Calibri" w:hAnsi="Calibri" w:cs="Calibri"/>
                <w:sz w:val="18"/>
                <w:szCs w:val="18"/>
                <w:lang w:val="bs-Latn-BA"/>
              </w:rPr>
              <w:t>114</w:t>
            </w:r>
          </w:p>
        </w:tc>
      </w:tr>
    </w:tbl>
    <w:p w:rsidR="006C69B9" w:rsidRPr="006C69B9" w:rsidRDefault="006C69B9" w:rsidP="006C69B9">
      <w:pPr>
        <w:jc w:val="both"/>
        <w:rPr>
          <w:rFonts w:ascii="Calibri" w:eastAsia="Calibri" w:hAnsi="Calibri" w:cs="Times New Roman"/>
          <w:b/>
          <w:bCs/>
          <w:i/>
          <w:sz w:val="16"/>
          <w:szCs w:val="16"/>
          <w:lang w:val="bs-Latn-BA"/>
        </w:rPr>
      </w:pPr>
      <w:r w:rsidRPr="006C69B9">
        <w:rPr>
          <w:rFonts w:ascii="Calibri" w:eastAsia="Calibri" w:hAnsi="Calibri" w:cs="Times New Roman"/>
          <w:b/>
          <w:bCs/>
          <w:i/>
          <w:sz w:val="16"/>
          <w:szCs w:val="16"/>
          <w:lang w:val="bs-Latn-BA"/>
        </w:rPr>
        <w:t xml:space="preserve">Izvor: Federalni zavod za programiranje razvoja </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U razdoblju 2009. do 2017. godine zabilježen je porast proizvodnje mlijeka uz istovremeno smanjenje broja muznih grla, što ukazuje na pozitivan trend rasta mliječnosti, odnosno produktivnosti po muznom grlu. Nakon 2017. godine proizvodnja mlijeka bilježi trend pada uz istovremeno smanjenje broja grla stoke. </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Na području HN kantona/Županije postoji moderna farma za proizvodnju mlijeka sa cca 600 muznih grla i cca 500 ha poljoprivrednog zemljišta za proizvodnju stočne hrane. Osim ovoga izdvojenog slučaja postoji nekoliko manjih farmi cca 20 – 30 grla, dok je ostalo ekstenzivna proizvodnja sa vrlo starom tehnologijom. Radi se o malim farmama slaboga genetskog potencijala proizvodnih grla, bez neophodne opreme za mužu koja bi osigurala proizvodnju po propisanim mikrobiološkim standardima za sirovo mlijeko. </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Za postizanje održive proizvodnje neophodna je kombinacija sustava novčanih potpora (izravna plaćanja po grlu i hektaru) uz povoljne kreditne linije koje bi bile subvencionirane sa 25 – 40 % uz subvencije kamata. Također, institucionalno potrebno je ojačati stručnu savjetodavnu službu u poljoprivredi. Dakle, bez transfera novih znanja i tehnologija uz stalnu edukaciju proizvođača ovakva ekstenzivna proizvodnja mlijeka je ekonomski neodrživa. Najveći potencijal leži u razvitku ovčarskih farmi za proizvodnju mesa (jagnjetina) i ovčjega sira koju je vrlo lako uklopiti u razvitak ruralnog turizma (kratki lanac opskrbe).</w:t>
      </w:r>
    </w:p>
    <w:p w:rsidR="006C69B9" w:rsidRPr="006C69B9" w:rsidRDefault="006C69B9" w:rsidP="006C69B9">
      <w:pPr>
        <w:spacing w:line="276" w:lineRule="auto"/>
        <w:jc w:val="both"/>
        <w:rPr>
          <w:rFonts w:ascii="Calibri" w:eastAsia="Calibri" w:hAnsi="Calibri" w:cs="Calibri"/>
          <w:b/>
          <w:lang w:val="bs-Latn-BA"/>
        </w:rPr>
      </w:pPr>
      <w:r w:rsidRPr="006C69B9">
        <w:rPr>
          <w:rFonts w:ascii="Calibri" w:eastAsia="Calibri" w:hAnsi="Calibri" w:cs="Calibri"/>
          <w:lang w:val="bs-Latn-BA"/>
        </w:rPr>
        <w:t xml:space="preserve">Izdvajanjem značajnih sredstava za potporu otkupljivačima poljoprivrednih proizvoda djelomično se kompenzira odsustvo prerađivačkih kapaciteta na području Kantona, koji su dovoljni samo u sektoru prerade mlijeka, a apsolutno su nedovoljni u sektoru prerade voća i povrća koje se proizvodi na području županije/kantona. Dio otkupljenog voća i povrća se djelomično izvozi, a najveći dio se utroši </w:t>
      </w:r>
      <w:r w:rsidRPr="006C69B9">
        <w:rPr>
          <w:rFonts w:ascii="Calibri" w:eastAsia="Calibri" w:hAnsi="Calibri" w:cs="Calibri"/>
          <w:lang w:val="bs-Latn-BA"/>
        </w:rPr>
        <w:lastRenderedPageBreak/>
        <w:t>za stolnu (sezonsku) potrošnju. Ipak, pozitivan ali nedovoljan pomak napravljen je posljednjih godina u povećanju instaliranih</w:t>
      </w:r>
      <w:r w:rsidRPr="006C69B9">
        <w:rPr>
          <w:rFonts w:ascii="Calibri" w:eastAsia="Calibri" w:hAnsi="Calibri" w:cs="Calibri"/>
          <w:b/>
          <w:lang w:val="bs-Latn-BA"/>
        </w:rPr>
        <w:t xml:space="preserve"> </w:t>
      </w:r>
      <w:r w:rsidRPr="006C69B9">
        <w:rPr>
          <w:rFonts w:ascii="Calibri" w:eastAsia="Calibri" w:hAnsi="Calibri" w:cs="Calibri"/>
          <w:lang w:val="bs-Latn-BA"/>
        </w:rPr>
        <w:t>rashladnih kapaciteta za čuvanje voća i povrća.</w:t>
      </w:r>
      <w:r w:rsidRPr="006C69B9">
        <w:rPr>
          <w:rFonts w:ascii="Calibri" w:eastAsia="Calibri" w:hAnsi="Calibri" w:cs="Calibri"/>
          <w:b/>
          <w:lang w:val="bs-Latn-BA"/>
        </w:rPr>
        <w:t xml:space="preserve"> </w:t>
      </w:r>
      <w:bookmarkStart w:id="18" w:name="_heading=h.26in1rg" w:colFirst="0" w:colLast="0"/>
      <w:bookmarkEnd w:id="18"/>
    </w:p>
    <w:p w:rsidR="006C69B9" w:rsidRPr="006C69B9" w:rsidRDefault="006C69B9" w:rsidP="00F85905">
      <w:pPr>
        <w:keepNext/>
        <w:numPr>
          <w:ilvl w:val="1"/>
          <w:numId w:val="22"/>
        </w:numPr>
        <w:spacing w:before="240" w:after="60" w:line="240" w:lineRule="auto"/>
        <w:outlineLvl w:val="1"/>
        <w:rPr>
          <w:rFonts w:ascii="Calibri" w:eastAsia="Calibri" w:hAnsi="Calibri" w:cs="Times New Roman"/>
          <w:b/>
          <w:bCs/>
          <w:iCs/>
          <w:color w:val="31849B"/>
          <w:sz w:val="24"/>
          <w:szCs w:val="28"/>
          <w:lang w:eastAsia="hr-HR"/>
        </w:rPr>
      </w:pPr>
      <w:bookmarkStart w:id="19" w:name="_Toc57573209"/>
      <w:r w:rsidRPr="006C69B9">
        <w:rPr>
          <w:rFonts w:ascii="Calibri" w:eastAsia="Calibri" w:hAnsi="Calibri" w:cs="Times New Roman"/>
          <w:b/>
          <w:bCs/>
          <w:iCs/>
          <w:color w:val="31849B"/>
          <w:sz w:val="24"/>
          <w:szCs w:val="28"/>
          <w:lang w:eastAsia="hr-HR"/>
        </w:rPr>
        <w:t>Šumarstvo i vodni resursi</w:t>
      </w:r>
      <w:bookmarkEnd w:id="19"/>
      <w:r w:rsidRPr="006C69B9">
        <w:rPr>
          <w:rFonts w:ascii="Calibri" w:eastAsia="Calibri" w:hAnsi="Calibri" w:cs="Times New Roman"/>
          <w:b/>
          <w:bCs/>
          <w:iCs/>
          <w:color w:val="31849B"/>
          <w:sz w:val="24"/>
          <w:szCs w:val="28"/>
          <w:lang w:eastAsia="hr-HR"/>
        </w:rPr>
        <w:t xml:space="preserve"> </w:t>
      </w:r>
    </w:p>
    <w:p w:rsidR="006C69B9" w:rsidRPr="006C69B9" w:rsidRDefault="006C69B9" w:rsidP="006C69B9">
      <w:pPr>
        <w:spacing w:after="0" w:line="276" w:lineRule="auto"/>
        <w:contextualSpacing/>
        <w:jc w:val="both"/>
        <w:textAlignment w:val="baseline"/>
        <w:rPr>
          <w:rFonts w:ascii="Calibri" w:eastAsia="Calibri" w:hAnsi="Calibri" w:cs="Calibri"/>
          <w:lang w:val="bs-Latn-BA"/>
        </w:rPr>
      </w:pPr>
      <w:r w:rsidRPr="006C69B9">
        <w:rPr>
          <w:rFonts w:ascii="Calibri" w:eastAsia="Calibri" w:hAnsi="Calibri" w:cs="Calibri"/>
          <w:lang w:val="bs-Latn-BA"/>
        </w:rPr>
        <w:t xml:space="preserve">Od ukupnih površina HN županije/kantona na šumsko zemljište otpada 187.505 ha ili čak 42,45 %. Od toga je 131.796 ha u državnom vlasništvu (80.0%), dok je 20% u privatnom vlasništvu. Procijenjena drvna ima u HNŽ/k iznosi 14014 m3 , a drvna masa 458 m3 /ha. </w:t>
      </w:r>
    </w:p>
    <w:p w:rsidR="006C69B9" w:rsidRPr="006C69B9" w:rsidRDefault="006C69B9" w:rsidP="006C69B9">
      <w:pPr>
        <w:spacing w:after="0" w:line="276" w:lineRule="auto"/>
        <w:contextualSpacing/>
        <w:jc w:val="both"/>
        <w:textAlignment w:val="baseline"/>
        <w:rPr>
          <w:rFonts w:ascii="Calibri" w:eastAsia="Calibri" w:hAnsi="Calibri" w:cs="Calibri"/>
          <w:lang w:val="bs-Latn-BA"/>
        </w:rPr>
      </w:pPr>
      <w:r w:rsidRPr="006C69B9">
        <w:rPr>
          <w:rFonts w:ascii="Calibri" w:eastAsia="Calibri" w:hAnsi="Calibri" w:cs="Calibri"/>
          <w:lang w:val="bs-Latn-BA"/>
        </w:rPr>
        <w:t>Šume i šumska zemljišta na teritoriji Hercegovačko-neretvanskog kantona prekrivaju površinu od 54 % kupne površine kantona. U ovojm kantonu šumarstvo je prostorno organizirano kroz četiri šumsko-privredna područja i jedno šumsko područje koje nije formalno ustanovljeno:</w:t>
      </w:r>
    </w:p>
    <w:p w:rsidR="006C69B9" w:rsidRPr="006C69B9" w:rsidRDefault="006C69B9" w:rsidP="00F85905">
      <w:pPr>
        <w:numPr>
          <w:ilvl w:val="0"/>
          <w:numId w:val="13"/>
        </w:numPr>
        <w:spacing w:after="0" w:line="276" w:lineRule="auto"/>
        <w:contextualSpacing/>
        <w:jc w:val="both"/>
        <w:textAlignment w:val="baseline"/>
        <w:rPr>
          <w:rFonts w:ascii="Calibri" w:eastAsia="Calibri" w:hAnsi="Calibri" w:cs="Calibri"/>
          <w:lang w:val="bs-Latn-BA"/>
        </w:rPr>
      </w:pPr>
      <w:r w:rsidRPr="006C69B9">
        <w:rPr>
          <w:rFonts w:ascii="Calibri" w:eastAsia="Calibri" w:hAnsi="Calibri" w:cs="Calibri"/>
          <w:lang w:val="bs-Latn-BA"/>
        </w:rPr>
        <w:t>ŠPP „Srednje-neretvansko“</w:t>
      </w:r>
    </w:p>
    <w:p w:rsidR="006C69B9" w:rsidRPr="006C69B9" w:rsidRDefault="006C69B9" w:rsidP="00F85905">
      <w:pPr>
        <w:numPr>
          <w:ilvl w:val="0"/>
          <w:numId w:val="13"/>
        </w:numPr>
        <w:spacing w:after="0" w:line="276" w:lineRule="auto"/>
        <w:contextualSpacing/>
        <w:jc w:val="both"/>
        <w:textAlignment w:val="baseline"/>
        <w:rPr>
          <w:rFonts w:ascii="Calibri" w:eastAsia="Calibri" w:hAnsi="Calibri" w:cs="Calibri"/>
          <w:lang w:val="bs-Latn-BA"/>
        </w:rPr>
      </w:pPr>
      <w:r w:rsidRPr="006C69B9">
        <w:rPr>
          <w:rFonts w:ascii="Calibri" w:eastAsia="Calibri" w:hAnsi="Calibri" w:cs="Calibri"/>
          <w:lang w:val="bs-Latn-BA"/>
        </w:rPr>
        <w:t>ŠPP „Srednje – neretvansko - krš”</w:t>
      </w:r>
    </w:p>
    <w:p w:rsidR="006C69B9" w:rsidRPr="006C69B9" w:rsidRDefault="006C69B9" w:rsidP="00F85905">
      <w:pPr>
        <w:numPr>
          <w:ilvl w:val="0"/>
          <w:numId w:val="13"/>
        </w:numPr>
        <w:spacing w:after="0" w:line="276" w:lineRule="auto"/>
        <w:contextualSpacing/>
        <w:jc w:val="both"/>
        <w:textAlignment w:val="baseline"/>
        <w:rPr>
          <w:rFonts w:ascii="Calibri" w:eastAsia="Calibri" w:hAnsi="Calibri" w:cs="Calibri"/>
          <w:lang w:val="bs-Latn-BA"/>
        </w:rPr>
      </w:pPr>
      <w:r w:rsidRPr="006C69B9">
        <w:rPr>
          <w:rFonts w:ascii="Calibri" w:eastAsia="Calibri" w:hAnsi="Calibri" w:cs="Calibri"/>
          <w:lang w:val="bs-Latn-BA"/>
        </w:rPr>
        <w:t>ŠPP „Konjičko“</w:t>
      </w:r>
    </w:p>
    <w:p w:rsidR="006C69B9" w:rsidRPr="006C69B9" w:rsidRDefault="006C69B9" w:rsidP="00F85905">
      <w:pPr>
        <w:numPr>
          <w:ilvl w:val="0"/>
          <w:numId w:val="13"/>
        </w:numPr>
        <w:spacing w:after="0" w:line="276" w:lineRule="auto"/>
        <w:contextualSpacing/>
        <w:jc w:val="both"/>
        <w:textAlignment w:val="baseline"/>
        <w:rPr>
          <w:rFonts w:ascii="Calibri" w:eastAsia="Calibri" w:hAnsi="Calibri" w:cs="Calibri"/>
          <w:lang w:val="bs-Latn-BA"/>
        </w:rPr>
      </w:pPr>
      <w:r w:rsidRPr="006C69B9">
        <w:rPr>
          <w:rFonts w:ascii="Calibri" w:eastAsia="Calibri" w:hAnsi="Calibri" w:cs="Calibri"/>
          <w:lang w:val="bs-Latn-BA"/>
        </w:rPr>
        <w:t>ŠPP "Konjičko - krš," i</w:t>
      </w:r>
    </w:p>
    <w:p w:rsidR="006C69B9" w:rsidRPr="006C69B9" w:rsidRDefault="006C69B9" w:rsidP="00F85905">
      <w:pPr>
        <w:numPr>
          <w:ilvl w:val="0"/>
          <w:numId w:val="13"/>
        </w:numPr>
        <w:spacing w:after="0" w:line="276" w:lineRule="auto"/>
        <w:contextualSpacing/>
        <w:jc w:val="both"/>
        <w:textAlignment w:val="baseline"/>
        <w:rPr>
          <w:rFonts w:ascii="Calibri" w:eastAsia="Calibri" w:hAnsi="Calibri" w:cs="Calibri"/>
          <w:lang w:val="bs-Latn-BA"/>
        </w:rPr>
      </w:pPr>
      <w:r w:rsidRPr="006C69B9">
        <w:rPr>
          <w:rFonts w:ascii="Calibri" w:eastAsia="Calibri" w:hAnsi="Calibri" w:cs="Calibri"/>
          <w:lang w:val="bs-Latn-BA"/>
        </w:rPr>
        <w:t xml:space="preserve">„Šuma na kršu“ izvan ŠPP. Ovo ŠPP nikada nije ustanovljeno  i za isto nije izvršena inventura šuma. </w:t>
      </w:r>
    </w:p>
    <w:p w:rsidR="006C69B9" w:rsidRPr="006C69B9" w:rsidRDefault="006C69B9" w:rsidP="006C69B9">
      <w:pPr>
        <w:spacing w:before="160" w:after="0" w:line="276" w:lineRule="auto"/>
        <w:jc w:val="both"/>
        <w:textAlignment w:val="baseline"/>
        <w:rPr>
          <w:rFonts w:ascii="Calibri" w:eastAsia="Calibri" w:hAnsi="Calibri" w:cs="Calibri"/>
          <w:lang w:val="bs-Latn-BA"/>
        </w:rPr>
      </w:pPr>
      <w:r w:rsidRPr="006C69B9">
        <w:rPr>
          <w:rFonts w:ascii="Calibri" w:eastAsia="Calibri" w:hAnsi="Calibri" w:cs="Calibri"/>
          <w:lang w:val="bs-Latn-BA"/>
        </w:rPr>
        <w:t>Inventure šuma za ŠPP „Srednje - neretvansko”, „Srednje –neretvansko - krš”, „Konjičko-krš” i inventura šuma u privatnom vlasništvu su urađene prije rata zbog čega se svi prikazani podaci mogu posmatrati samo kao orjentacioni.</w:t>
      </w:r>
    </w:p>
    <w:p w:rsidR="006C69B9" w:rsidRPr="006C69B9" w:rsidRDefault="006C69B9" w:rsidP="006C69B9">
      <w:pPr>
        <w:spacing w:after="0" w:line="240" w:lineRule="auto"/>
        <w:jc w:val="center"/>
        <w:textAlignment w:val="baseline"/>
        <w:rPr>
          <w:rFonts w:ascii="Calibri" w:eastAsia="MS Gothic" w:hAnsi="Calibri" w:cs="Calibri"/>
          <w:b/>
          <w:bCs/>
          <w:color w:val="000000"/>
          <w:kern w:val="24"/>
          <w:lang w:val="hr-BA" w:eastAsia="hr-HR"/>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31</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Struktura površine šuma i šumskih zemljišta U HNK</w:t>
      </w:r>
    </w:p>
    <w:tbl>
      <w:tblPr>
        <w:tblStyle w:val="ListTable5Dark-Accent52"/>
        <w:tblW w:w="8337" w:type="dxa"/>
        <w:tblLook w:val="0600"/>
      </w:tblPr>
      <w:tblGrid>
        <w:gridCol w:w="794"/>
        <w:gridCol w:w="1819"/>
        <w:gridCol w:w="2852"/>
        <w:gridCol w:w="2872"/>
      </w:tblGrid>
      <w:tr w:rsidR="00F85905" w:rsidRPr="006C69B9" w:rsidTr="006C69B9">
        <w:trPr>
          <w:trHeight w:val="412"/>
        </w:trPr>
        <w:tc>
          <w:tcPr>
            <w:tcW w:w="794" w:type="dxa"/>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R/D</w:t>
            </w:r>
          </w:p>
        </w:tc>
        <w:tc>
          <w:tcPr>
            <w:tcW w:w="1819" w:type="dxa"/>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Šume i šumsko zemljište</w:t>
            </w:r>
          </w:p>
        </w:tc>
        <w:tc>
          <w:tcPr>
            <w:tcW w:w="2852" w:type="dxa"/>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Kategorija</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Ukupno (ha)</w:t>
            </w:r>
          </w:p>
        </w:tc>
      </w:tr>
      <w:tr w:rsidR="00F85905" w:rsidRPr="006C69B9" w:rsidTr="006C69B9">
        <w:trPr>
          <w:trHeight w:val="202"/>
        </w:trPr>
        <w:tc>
          <w:tcPr>
            <w:tcW w:w="794" w:type="dxa"/>
            <w:vMerge w:val="restart"/>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1.</w:t>
            </w:r>
          </w:p>
        </w:tc>
        <w:tc>
          <w:tcPr>
            <w:tcW w:w="1819" w:type="dxa"/>
            <w:vMerge w:val="restart"/>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Obraslo šumsko zemljište</w:t>
            </w:r>
          </w:p>
        </w:tc>
        <w:tc>
          <w:tcPr>
            <w:tcW w:w="2852" w:type="dxa"/>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Visoke šume</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42.045</w:t>
            </w:r>
          </w:p>
        </w:tc>
      </w:tr>
      <w:tr w:rsidR="00F85905" w:rsidRPr="006C69B9" w:rsidTr="006C69B9">
        <w:trPr>
          <w:trHeight w:val="144"/>
        </w:trPr>
        <w:tc>
          <w:tcPr>
            <w:tcW w:w="0" w:type="auto"/>
            <w:vMerge/>
            <w:hideMark/>
          </w:tcPr>
          <w:p w:rsidR="006C69B9" w:rsidRPr="006C69B9" w:rsidRDefault="006C69B9" w:rsidP="006C69B9">
            <w:pPr>
              <w:rPr>
                <w:rFonts w:ascii="Calibri" w:hAnsi="Calibri" w:cs="Calibri"/>
                <w:sz w:val="20"/>
                <w:szCs w:val="20"/>
                <w:lang w:val="bs-Latn-BA" w:eastAsia="hr-HR"/>
              </w:rPr>
            </w:pPr>
          </w:p>
        </w:tc>
        <w:tc>
          <w:tcPr>
            <w:tcW w:w="1819" w:type="dxa"/>
            <w:vMerge/>
            <w:shd w:val="clear" w:color="auto" w:fill="auto"/>
            <w:hideMark/>
          </w:tcPr>
          <w:p w:rsidR="006C69B9" w:rsidRPr="006C69B9" w:rsidRDefault="006C69B9" w:rsidP="006C69B9">
            <w:pPr>
              <w:rPr>
                <w:rFonts w:ascii="Calibri" w:hAnsi="Calibri" w:cs="Calibri"/>
                <w:sz w:val="20"/>
                <w:szCs w:val="20"/>
                <w:lang w:val="bs-Latn-BA" w:eastAsia="hr-HR"/>
              </w:rPr>
            </w:pPr>
          </w:p>
        </w:tc>
        <w:tc>
          <w:tcPr>
            <w:tcW w:w="2852" w:type="dxa"/>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Izdanačke šume</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43.480</w:t>
            </w:r>
          </w:p>
        </w:tc>
      </w:tr>
      <w:tr w:rsidR="006C69B9" w:rsidRPr="006C69B9" w:rsidTr="006C69B9">
        <w:trPr>
          <w:trHeight w:val="352"/>
        </w:trPr>
        <w:tc>
          <w:tcPr>
            <w:tcW w:w="794" w:type="dxa"/>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2.</w:t>
            </w:r>
          </w:p>
        </w:tc>
        <w:tc>
          <w:tcPr>
            <w:tcW w:w="4671" w:type="dxa"/>
            <w:gridSpan w:val="2"/>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Šumske kulture</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2.373</w:t>
            </w:r>
          </w:p>
        </w:tc>
      </w:tr>
      <w:tr w:rsidR="00F85905" w:rsidRPr="006C69B9" w:rsidTr="006C69B9">
        <w:trPr>
          <w:trHeight w:val="295"/>
        </w:trPr>
        <w:tc>
          <w:tcPr>
            <w:tcW w:w="794" w:type="dxa"/>
            <w:vMerge w:val="restart"/>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3.</w:t>
            </w:r>
          </w:p>
        </w:tc>
        <w:tc>
          <w:tcPr>
            <w:tcW w:w="1819" w:type="dxa"/>
            <w:vMerge w:val="restart"/>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Neobraslo šumsko zemljište</w:t>
            </w:r>
          </w:p>
        </w:tc>
        <w:tc>
          <w:tcPr>
            <w:tcW w:w="2852" w:type="dxa"/>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Sposobno za pošumljavanje</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34.348</w:t>
            </w:r>
          </w:p>
        </w:tc>
      </w:tr>
      <w:tr w:rsidR="00F85905" w:rsidRPr="006C69B9" w:rsidTr="006C69B9">
        <w:trPr>
          <w:trHeight w:val="352"/>
        </w:trPr>
        <w:tc>
          <w:tcPr>
            <w:tcW w:w="0" w:type="auto"/>
            <w:vMerge/>
            <w:hideMark/>
          </w:tcPr>
          <w:p w:rsidR="006C69B9" w:rsidRPr="006C69B9" w:rsidRDefault="006C69B9" w:rsidP="006C69B9">
            <w:pPr>
              <w:rPr>
                <w:rFonts w:ascii="Calibri" w:hAnsi="Calibri" w:cs="Calibri"/>
                <w:sz w:val="20"/>
                <w:szCs w:val="20"/>
                <w:lang w:val="bs-Latn-BA" w:eastAsia="hr-HR"/>
              </w:rPr>
            </w:pPr>
          </w:p>
        </w:tc>
        <w:tc>
          <w:tcPr>
            <w:tcW w:w="1819" w:type="dxa"/>
            <w:vMerge/>
            <w:shd w:val="clear" w:color="auto" w:fill="auto"/>
            <w:hideMark/>
          </w:tcPr>
          <w:p w:rsidR="006C69B9" w:rsidRPr="006C69B9" w:rsidRDefault="006C69B9" w:rsidP="006C69B9">
            <w:pPr>
              <w:rPr>
                <w:rFonts w:ascii="Calibri" w:hAnsi="Calibri" w:cs="Calibri"/>
                <w:sz w:val="20"/>
                <w:szCs w:val="20"/>
                <w:lang w:val="bs-Latn-BA" w:eastAsia="hr-HR"/>
              </w:rPr>
            </w:pPr>
          </w:p>
        </w:tc>
        <w:tc>
          <w:tcPr>
            <w:tcW w:w="2852" w:type="dxa"/>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Nesposobno za pošumljavanje</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58.525</w:t>
            </w:r>
          </w:p>
        </w:tc>
      </w:tr>
      <w:tr w:rsidR="006C69B9" w:rsidRPr="006C69B9" w:rsidTr="006C69B9">
        <w:trPr>
          <w:trHeight w:val="41"/>
        </w:trPr>
        <w:tc>
          <w:tcPr>
            <w:tcW w:w="794" w:type="dxa"/>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4.</w:t>
            </w:r>
          </w:p>
        </w:tc>
        <w:tc>
          <w:tcPr>
            <w:tcW w:w="4671" w:type="dxa"/>
            <w:gridSpan w:val="2"/>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Ukupno šumska zemljišta</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181.134</w:t>
            </w:r>
          </w:p>
        </w:tc>
      </w:tr>
      <w:tr w:rsidR="006C69B9" w:rsidRPr="006C69B9" w:rsidTr="006C69B9">
        <w:trPr>
          <w:trHeight w:val="41"/>
        </w:trPr>
        <w:tc>
          <w:tcPr>
            <w:tcW w:w="794" w:type="dxa"/>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5.</w:t>
            </w:r>
          </w:p>
        </w:tc>
        <w:tc>
          <w:tcPr>
            <w:tcW w:w="4671" w:type="dxa"/>
            <w:gridSpan w:val="2"/>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Ukupno šume</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88.261</w:t>
            </w:r>
          </w:p>
        </w:tc>
      </w:tr>
      <w:tr w:rsidR="006C69B9" w:rsidRPr="006C69B9" w:rsidTr="006C69B9">
        <w:trPr>
          <w:trHeight w:val="41"/>
        </w:trPr>
        <w:tc>
          <w:tcPr>
            <w:tcW w:w="794" w:type="dxa"/>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6.</w:t>
            </w:r>
          </w:p>
        </w:tc>
        <w:tc>
          <w:tcPr>
            <w:tcW w:w="4671" w:type="dxa"/>
            <w:gridSpan w:val="2"/>
            <w:shd w:val="clear" w:color="auto" w:fill="auto"/>
            <w:hideMark/>
          </w:tcPr>
          <w:p w:rsidR="006C69B9" w:rsidRPr="006C69B9" w:rsidRDefault="006C69B9" w:rsidP="006C69B9">
            <w:pP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Ukupno neobraslo šumsko zemljište</w:t>
            </w:r>
          </w:p>
        </w:tc>
        <w:tc>
          <w:tcPr>
            <w:tcW w:w="2872" w:type="dxa"/>
            <w:shd w:val="clear" w:color="auto" w:fill="auto"/>
            <w:hideMark/>
          </w:tcPr>
          <w:p w:rsidR="006C69B9" w:rsidRPr="006C69B9" w:rsidRDefault="006C69B9" w:rsidP="006C69B9">
            <w:pPr>
              <w:jc w:val="center"/>
              <w:textAlignment w:val="baseline"/>
              <w:rPr>
                <w:rFonts w:ascii="Calibri" w:hAnsi="Calibri" w:cs="Calibri"/>
                <w:sz w:val="20"/>
                <w:szCs w:val="20"/>
                <w:lang w:val="bs-Latn-BA" w:eastAsia="hr-HR"/>
              </w:rPr>
            </w:pPr>
            <w:r w:rsidRPr="006C69B9">
              <w:rPr>
                <w:rFonts w:ascii="Calibri" w:eastAsia="MS Gothic" w:hAnsi="Calibri" w:cs="Calibri"/>
                <w:kern w:val="24"/>
                <w:sz w:val="20"/>
                <w:szCs w:val="20"/>
                <w:lang w:val="bs-Latn-BA" w:eastAsia="hr-HR"/>
              </w:rPr>
              <w:t>92.873</w:t>
            </w:r>
          </w:p>
        </w:tc>
      </w:tr>
      <w:tr w:rsidR="006C69B9" w:rsidRPr="006C69B9" w:rsidTr="006C69B9">
        <w:trPr>
          <w:trHeight w:val="20"/>
        </w:trPr>
        <w:tc>
          <w:tcPr>
            <w:tcW w:w="794" w:type="dxa"/>
            <w:hideMark/>
          </w:tcPr>
          <w:p w:rsidR="006C69B9" w:rsidRPr="006C69B9" w:rsidRDefault="006C69B9" w:rsidP="006C69B9">
            <w:pPr>
              <w:jc w:val="center"/>
              <w:textAlignment w:val="baseline"/>
              <w:rPr>
                <w:rFonts w:ascii="Calibri" w:hAnsi="Calibri" w:cs="Calibri"/>
                <w:b/>
                <w:bCs/>
                <w:sz w:val="20"/>
                <w:szCs w:val="20"/>
                <w:lang w:val="bs-Latn-BA" w:eastAsia="hr-HR"/>
              </w:rPr>
            </w:pPr>
            <w:r w:rsidRPr="006C69B9">
              <w:rPr>
                <w:rFonts w:ascii="Calibri" w:eastAsia="MS Gothic" w:hAnsi="Calibri" w:cs="Calibri"/>
                <w:b/>
                <w:bCs/>
                <w:kern w:val="24"/>
                <w:sz w:val="20"/>
                <w:szCs w:val="20"/>
                <w:lang w:val="bs-Latn-BA" w:eastAsia="hr-HR"/>
              </w:rPr>
              <w:t>7.</w:t>
            </w:r>
          </w:p>
        </w:tc>
        <w:tc>
          <w:tcPr>
            <w:tcW w:w="4671" w:type="dxa"/>
            <w:gridSpan w:val="2"/>
            <w:shd w:val="clear" w:color="auto" w:fill="auto"/>
            <w:hideMark/>
          </w:tcPr>
          <w:p w:rsidR="006C69B9" w:rsidRPr="006C69B9" w:rsidRDefault="006C69B9" w:rsidP="006C69B9">
            <w:pPr>
              <w:textAlignment w:val="baseline"/>
              <w:rPr>
                <w:rFonts w:ascii="Calibri" w:hAnsi="Calibri" w:cs="Calibri"/>
                <w:b/>
                <w:bCs/>
                <w:sz w:val="20"/>
                <w:szCs w:val="20"/>
                <w:lang w:val="bs-Latn-BA" w:eastAsia="hr-HR"/>
              </w:rPr>
            </w:pPr>
            <w:r w:rsidRPr="006C69B9">
              <w:rPr>
                <w:rFonts w:ascii="Calibri" w:eastAsia="MS Gothic" w:hAnsi="Calibri" w:cs="Calibri"/>
                <w:b/>
                <w:bCs/>
                <w:kern w:val="24"/>
                <w:sz w:val="20"/>
                <w:szCs w:val="20"/>
                <w:lang w:val="bs-Latn-BA" w:eastAsia="hr-HR"/>
              </w:rPr>
              <w:t>Ukupno prod. zemljišta</w:t>
            </w:r>
          </w:p>
        </w:tc>
        <w:tc>
          <w:tcPr>
            <w:tcW w:w="2872" w:type="dxa"/>
            <w:shd w:val="clear" w:color="auto" w:fill="auto"/>
            <w:hideMark/>
          </w:tcPr>
          <w:p w:rsidR="006C69B9" w:rsidRPr="006C69B9" w:rsidRDefault="006C69B9" w:rsidP="006C69B9">
            <w:pPr>
              <w:jc w:val="center"/>
              <w:textAlignment w:val="baseline"/>
              <w:rPr>
                <w:rFonts w:ascii="Calibri" w:hAnsi="Calibri" w:cs="Calibri"/>
                <w:b/>
                <w:bCs/>
                <w:sz w:val="20"/>
                <w:szCs w:val="20"/>
                <w:lang w:val="bs-Latn-BA" w:eastAsia="hr-HR"/>
              </w:rPr>
            </w:pPr>
            <w:r w:rsidRPr="006C69B9">
              <w:rPr>
                <w:rFonts w:ascii="Calibri" w:eastAsia="MS Gothic" w:hAnsi="Calibri" w:cs="Calibri"/>
                <w:b/>
                <w:bCs/>
                <w:kern w:val="24"/>
                <w:sz w:val="20"/>
                <w:szCs w:val="20"/>
                <w:lang w:val="bs-Latn-BA" w:eastAsia="hr-HR"/>
              </w:rPr>
              <w:t>122.609</w:t>
            </w:r>
          </w:p>
        </w:tc>
      </w:tr>
    </w:tbl>
    <w:p w:rsidR="006C69B9" w:rsidRPr="006C69B9" w:rsidRDefault="006C69B9" w:rsidP="006C69B9">
      <w:pPr>
        <w:jc w:val="both"/>
        <w:rPr>
          <w:rFonts w:ascii="Calibri" w:eastAsia="Calibri" w:hAnsi="Calibri" w:cs="Times New Roman"/>
          <w:b/>
          <w:bCs/>
          <w:i/>
          <w:sz w:val="16"/>
          <w:szCs w:val="16"/>
          <w:lang w:val="bs-Latn-BA"/>
        </w:rPr>
      </w:pPr>
      <w:r w:rsidRPr="006C69B9">
        <w:rPr>
          <w:rFonts w:ascii="Calibri" w:eastAsia="Calibri" w:hAnsi="Calibri" w:cs="Times New Roman"/>
          <w:b/>
          <w:bCs/>
          <w:i/>
          <w:sz w:val="16"/>
          <w:szCs w:val="16"/>
          <w:lang w:val="bs-Latn-BA"/>
        </w:rPr>
        <w:t xml:space="preserve">Izvor: Federalni zavod za programiranje razvoja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32</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Stanje drvne zalihe, zapreminskog prirasta i sječivog etata</w:t>
      </w:r>
    </w:p>
    <w:tbl>
      <w:tblPr>
        <w:tblW w:w="8364" w:type="dxa"/>
        <w:tblInd w:w="-10" w:type="dxa"/>
        <w:tblCellMar>
          <w:left w:w="0" w:type="dxa"/>
          <w:right w:w="0" w:type="dxa"/>
        </w:tblCellMar>
        <w:tblLook w:val="0600"/>
      </w:tblPr>
      <w:tblGrid>
        <w:gridCol w:w="1374"/>
        <w:gridCol w:w="1144"/>
        <w:gridCol w:w="1602"/>
        <w:gridCol w:w="1374"/>
        <w:gridCol w:w="1144"/>
        <w:gridCol w:w="1726"/>
      </w:tblGrid>
      <w:tr w:rsidR="00F85905" w:rsidRPr="006C69B9" w:rsidTr="006C69B9">
        <w:trPr>
          <w:trHeight w:val="283"/>
        </w:trPr>
        <w:tc>
          <w:tcPr>
            <w:tcW w:w="1374" w:type="dxa"/>
            <w:tcBorders>
              <w:top w:val="single" w:sz="8" w:space="0" w:color="FFFFFF"/>
              <w:left w:val="single" w:sz="8" w:space="0" w:color="FFFFFF"/>
              <w:bottom w:val="single" w:sz="24" w:space="0" w:color="FFFFFF"/>
              <w:right w:val="single" w:sz="8" w:space="0" w:color="FFFFFF"/>
            </w:tcBorders>
            <w:shd w:val="clear" w:color="auto" w:fill="31849B"/>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color w:val="FFFFFF"/>
                <w:kern w:val="24"/>
                <w:sz w:val="20"/>
                <w:szCs w:val="20"/>
                <w:lang w:val="bs-Latn-BA" w:eastAsia="hr-HR"/>
              </w:rPr>
              <w:t>Podaci za drvnu masu</w:t>
            </w:r>
          </w:p>
        </w:tc>
        <w:tc>
          <w:tcPr>
            <w:tcW w:w="1144" w:type="dxa"/>
            <w:tcBorders>
              <w:top w:val="single" w:sz="8" w:space="0" w:color="FFFFFF"/>
              <w:left w:val="single" w:sz="8" w:space="0" w:color="FFFFFF"/>
              <w:bottom w:val="single" w:sz="24" w:space="0" w:color="FFFFFF"/>
              <w:right w:val="single" w:sz="8" w:space="0" w:color="FFFFFF"/>
            </w:tcBorders>
            <w:shd w:val="clear" w:color="auto" w:fill="31849B"/>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color w:val="FFFFFF"/>
                <w:kern w:val="24"/>
                <w:sz w:val="20"/>
                <w:szCs w:val="20"/>
                <w:lang w:val="bs-Latn-BA" w:eastAsia="hr-HR"/>
              </w:rPr>
              <w:t>Vrsta drveća</w:t>
            </w:r>
          </w:p>
        </w:tc>
        <w:tc>
          <w:tcPr>
            <w:tcW w:w="1602" w:type="dxa"/>
            <w:tcBorders>
              <w:top w:val="single" w:sz="8" w:space="0" w:color="FFFFFF"/>
              <w:left w:val="single" w:sz="8" w:space="0" w:color="FFFFFF"/>
              <w:bottom w:val="single" w:sz="24" w:space="0" w:color="FFFFFF"/>
              <w:right w:val="single" w:sz="8" w:space="0" w:color="FFFFFF"/>
            </w:tcBorders>
            <w:shd w:val="clear" w:color="auto" w:fill="31849B"/>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color w:val="FFFFFF"/>
                <w:kern w:val="24"/>
                <w:sz w:val="20"/>
                <w:szCs w:val="20"/>
                <w:lang w:val="bs-Latn-BA" w:eastAsia="hr-HR"/>
              </w:rPr>
              <w:t>ŠGP</w:t>
            </w:r>
          </w:p>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color w:val="FFFFFF"/>
                <w:kern w:val="24"/>
                <w:sz w:val="20"/>
                <w:szCs w:val="20"/>
                <w:lang w:val="bs-Latn-BA" w:eastAsia="hr-HR"/>
              </w:rPr>
              <w:t>„Srednje-neretvansko“</w:t>
            </w:r>
          </w:p>
        </w:tc>
        <w:tc>
          <w:tcPr>
            <w:tcW w:w="1374" w:type="dxa"/>
            <w:tcBorders>
              <w:top w:val="single" w:sz="8" w:space="0" w:color="FFFFFF"/>
              <w:left w:val="single" w:sz="8" w:space="0" w:color="FFFFFF"/>
              <w:bottom w:val="single" w:sz="24" w:space="0" w:color="FFFFFF"/>
              <w:right w:val="single" w:sz="8" w:space="0" w:color="FFFFFF"/>
            </w:tcBorders>
            <w:shd w:val="clear" w:color="auto" w:fill="31849B"/>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color w:val="FFFFFF"/>
                <w:kern w:val="24"/>
                <w:sz w:val="20"/>
                <w:szCs w:val="20"/>
                <w:lang w:val="bs-Latn-BA" w:eastAsia="hr-HR"/>
              </w:rPr>
              <w:t>ŠGP „Konjičko“</w:t>
            </w:r>
          </w:p>
        </w:tc>
        <w:tc>
          <w:tcPr>
            <w:tcW w:w="1144" w:type="dxa"/>
            <w:tcBorders>
              <w:top w:val="single" w:sz="8" w:space="0" w:color="FFFFFF"/>
              <w:left w:val="single" w:sz="8" w:space="0" w:color="FFFFFF"/>
              <w:bottom w:val="single" w:sz="24" w:space="0" w:color="FFFFFF"/>
              <w:right w:val="single" w:sz="8" w:space="0" w:color="FFFFFF"/>
            </w:tcBorders>
            <w:shd w:val="clear" w:color="auto" w:fill="31849B"/>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color w:val="FFFFFF"/>
                <w:kern w:val="24"/>
                <w:sz w:val="20"/>
                <w:szCs w:val="20"/>
                <w:lang w:val="bs-Latn-BA" w:eastAsia="hr-HR"/>
              </w:rPr>
              <w:t>ŠGP „Šume na kršu“</w:t>
            </w:r>
          </w:p>
        </w:tc>
        <w:tc>
          <w:tcPr>
            <w:tcW w:w="1726" w:type="dxa"/>
            <w:tcBorders>
              <w:top w:val="single" w:sz="8" w:space="0" w:color="FFFFFF"/>
              <w:left w:val="single" w:sz="8" w:space="0" w:color="FFFFFF"/>
              <w:bottom w:val="single" w:sz="24" w:space="0" w:color="FFFFFF"/>
              <w:right w:val="single" w:sz="8" w:space="0" w:color="FFFFFF"/>
            </w:tcBorders>
            <w:shd w:val="clear" w:color="auto" w:fill="31849B"/>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color w:val="FFFFFF"/>
                <w:kern w:val="24"/>
                <w:sz w:val="20"/>
                <w:szCs w:val="20"/>
                <w:lang w:val="bs-Latn-BA" w:eastAsia="hr-HR"/>
              </w:rPr>
              <w:t>Ukupno (m</w:t>
            </w:r>
            <w:r w:rsidRPr="006C69B9">
              <w:rPr>
                <w:rFonts w:ascii="Calibri" w:eastAsia="MS Gothic" w:hAnsi="Calibri" w:cs="Calibri"/>
                <w:b/>
                <w:bCs/>
                <w:color w:val="FFFFFF"/>
                <w:kern w:val="24"/>
                <w:position w:val="10"/>
                <w:sz w:val="20"/>
                <w:szCs w:val="20"/>
                <w:vertAlign w:val="superscript"/>
                <w:lang w:val="bs-Latn-BA" w:eastAsia="hr-HR"/>
              </w:rPr>
              <w:t>3</w:t>
            </w:r>
            <w:r w:rsidRPr="006C69B9">
              <w:rPr>
                <w:rFonts w:ascii="Calibri" w:eastAsia="MS Gothic" w:hAnsi="Calibri" w:cs="Calibri"/>
                <w:b/>
                <w:bCs/>
                <w:color w:val="FFFFFF"/>
                <w:kern w:val="24"/>
                <w:sz w:val="20"/>
                <w:szCs w:val="20"/>
                <w:lang w:val="bs-Latn-BA" w:eastAsia="hr-HR"/>
              </w:rPr>
              <w:t>)</w:t>
            </w:r>
          </w:p>
        </w:tc>
      </w:tr>
      <w:tr w:rsidR="00F85905" w:rsidRPr="006C69B9" w:rsidTr="006C69B9">
        <w:trPr>
          <w:trHeight w:val="43"/>
        </w:trPr>
        <w:tc>
          <w:tcPr>
            <w:tcW w:w="1374" w:type="dxa"/>
            <w:vMerge w:val="restart"/>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DRVNA ZALIHA</w:t>
            </w:r>
          </w:p>
        </w:tc>
        <w:tc>
          <w:tcPr>
            <w:tcW w:w="1144"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Četinari</w:t>
            </w:r>
          </w:p>
        </w:tc>
        <w:tc>
          <w:tcPr>
            <w:tcW w:w="1602"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1.152.002</w:t>
            </w:r>
          </w:p>
        </w:tc>
        <w:tc>
          <w:tcPr>
            <w:tcW w:w="1374"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722.833</w:t>
            </w:r>
          </w:p>
        </w:tc>
        <w:tc>
          <w:tcPr>
            <w:tcW w:w="1144"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225.750</w:t>
            </w:r>
          </w:p>
        </w:tc>
        <w:tc>
          <w:tcPr>
            <w:tcW w:w="1726"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2.100.585</w:t>
            </w:r>
          </w:p>
        </w:tc>
      </w:tr>
      <w:tr w:rsidR="00F85905" w:rsidRPr="006C69B9" w:rsidTr="006C69B9">
        <w:trPr>
          <w:trHeight w:val="12"/>
        </w:trPr>
        <w:tc>
          <w:tcPr>
            <w:tcW w:w="0" w:type="auto"/>
            <w:vMerge/>
            <w:tcBorders>
              <w:top w:val="single" w:sz="24" w:space="0" w:color="FFFFFF"/>
              <w:left w:val="single" w:sz="8" w:space="0" w:color="FFFFFF"/>
              <w:bottom w:val="single" w:sz="8" w:space="0" w:color="FFFFFF"/>
              <w:right w:val="single" w:sz="8" w:space="0" w:color="FFFFFF"/>
            </w:tcBorders>
            <w:shd w:val="clear" w:color="auto" w:fill="DAEEF3"/>
            <w:vAlign w:val="center"/>
            <w:hideMark/>
          </w:tcPr>
          <w:p w:rsidR="006C69B9" w:rsidRPr="006C69B9" w:rsidRDefault="006C69B9" w:rsidP="006C69B9">
            <w:pPr>
              <w:spacing w:after="0" w:line="240" w:lineRule="auto"/>
              <w:rPr>
                <w:rFonts w:ascii="Calibri" w:eastAsia="Times New Roman" w:hAnsi="Calibri" w:cs="Calibri"/>
                <w:sz w:val="20"/>
                <w:szCs w:val="20"/>
                <w:lang w:val="bs-Latn-BA" w:eastAsia="hr-HR"/>
              </w:rPr>
            </w:pP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Liščari</w:t>
            </w:r>
          </w:p>
        </w:tc>
        <w:tc>
          <w:tcPr>
            <w:tcW w:w="1602"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4.003.399</w:t>
            </w:r>
          </w:p>
        </w:tc>
        <w:tc>
          <w:tcPr>
            <w:tcW w:w="137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6.071.707</w:t>
            </w: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677.250</w:t>
            </w:r>
          </w:p>
        </w:tc>
        <w:tc>
          <w:tcPr>
            <w:tcW w:w="1726"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10.752.356</w:t>
            </w:r>
          </w:p>
        </w:tc>
      </w:tr>
      <w:tr w:rsidR="00F85905" w:rsidRPr="006C69B9" w:rsidTr="006C69B9">
        <w:trPr>
          <w:trHeight w:val="12"/>
        </w:trPr>
        <w:tc>
          <w:tcPr>
            <w:tcW w:w="0" w:type="auto"/>
            <w:vMerge/>
            <w:tcBorders>
              <w:top w:val="single" w:sz="24" w:space="0" w:color="FFFFFF"/>
              <w:left w:val="single" w:sz="8" w:space="0" w:color="FFFFFF"/>
              <w:bottom w:val="single" w:sz="8" w:space="0" w:color="FFFFFF"/>
              <w:right w:val="single" w:sz="8" w:space="0" w:color="FFFFFF"/>
            </w:tcBorders>
            <w:shd w:val="clear" w:color="auto" w:fill="DAEEF3"/>
            <w:vAlign w:val="center"/>
            <w:hideMark/>
          </w:tcPr>
          <w:p w:rsidR="006C69B9" w:rsidRPr="006C69B9" w:rsidRDefault="006C69B9" w:rsidP="006C69B9">
            <w:pPr>
              <w:spacing w:after="0" w:line="240" w:lineRule="auto"/>
              <w:rPr>
                <w:rFonts w:ascii="Calibri" w:eastAsia="Times New Roman" w:hAnsi="Calibri" w:cs="Calibri"/>
                <w:sz w:val="20"/>
                <w:szCs w:val="20"/>
                <w:lang w:val="bs-Latn-BA" w:eastAsia="hr-HR"/>
              </w:rPr>
            </w:pP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UKUPNO:</w:t>
            </w:r>
          </w:p>
        </w:tc>
        <w:tc>
          <w:tcPr>
            <w:tcW w:w="1602"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i/>
                <w:iCs/>
                <w:kern w:val="24"/>
                <w:sz w:val="20"/>
                <w:szCs w:val="20"/>
                <w:lang w:val="bs-Latn-BA" w:eastAsia="hr-HR"/>
              </w:rPr>
              <w:t>5.155.401</w:t>
            </w:r>
          </w:p>
        </w:tc>
        <w:tc>
          <w:tcPr>
            <w:tcW w:w="137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i/>
                <w:iCs/>
                <w:kern w:val="24"/>
                <w:sz w:val="20"/>
                <w:szCs w:val="20"/>
                <w:lang w:val="bs-Latn-BA" w:eastAsia="hr-HR"/>
              </w:rPr>
              <w:t>6.794.540</w:t>
            </w: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i/>
                <w:iCs/>
                <w:kern w:val="24"/>
                <w:sz w:val="20"/>
                <w:szCs w:val="20"/>
                <w:lang w:val="bs-Latn-BA" w:eastAsia="hr-HR"/>
              </w:rPr>
              <w:t>903.000</w:t>
            </w:r>
          </w:p>
        </w:tc>
        <w:tc>
          <w:tcPr>
            <w:tcW w:w="1726"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12.852.941</w:t>
            </w:r>
          </w:p>
        </w:tc>
      </w:tr>
      <w:tr w:rsidR="00F85905" w:rsidRPr="006C69B9" w:rsidTr="006C69B9">
        <w:trPr>
          <w:trHeight w:val="27"/>
        </w:trPr>
        <w:tc>
          <w:tcPr>
            <w:tcW w:w="1374" w:type="dxa"/>
            <w:vMerge w:val="restart"/>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GODIŠNJI ZAPREMINSKI PRIRAST</w:t>
            </w: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Četinari</w:t>
            </w:r>
          </w:p>
        </w:tc>
        <w:tc>
          <w:tcPr>
            <w:tcW w:w="1602"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37.979</w:t>
            </w:r>
          </w:p>
        </w:tc>
        <w:tc>
          <w:tcPr>
            <w:tcW w:w="137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23.631</w:t>
            </w: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6.074</w:t>
            </w:r>
          </w:p>
        </w:tc>
        <w:tc>
          <w:tcPr>
            <w:tcW w:w="1726"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67.502</w:t>
            </w:r>
          </w:p>
        </w:tc>
      </w:tr>
      <w:tr w:rsidR="00F85905" w:rsidRPr="006C69B9" w:rsidTr="006C69B9">
        <w:trPr>
          <w:trHeight w:val="75"/>
        </w:trPr>
        <w:tc>
          <w:tcPr>
            <w:tcW w:w="0" w:type="auto"/>
            <w:vMerge/>
            <w:tcBorders>
              <w:top w:val="single" w:sz="8" w:space="0" w:color="FFFFFF"/>
              <w:left w:val="single" w:sz="8" w:space="0" w:color="FFFFFF"/>
              <w:bottom w:val="single" w:sz="24" w:space="0" w:color="FFFFFF"/>
              <w:right w:val="single" w:sz="8" w:space="0" w:color="FFFFFF"/>
            </w:tcBorders>
            <w:shd w:val="clear" w:color="auto" w:fill="DAEEF3"/>
            <w:vAlign w:val="center"/>
            <w:hideMark/>
          </w:tcPr>
          <w:p w:rsidR="006C69B9" w:rsidRPr="006C69B9" w:rsidRDefault="006C69B9" w:rsidP="006C69B9">
            <w:pPr>
              <w:spacing w:after="0" w:line="240" w:lineRule="auto"/>
              <w:rPr>
                <w:rFonts w:ascii="Calibri" w:eastAsia="Times New Roman" w:hAnsi="Calibri" w:cs="Calibri"/>
                <w:sz w:val="20"/>
                <w:szCs w:val="20"/>
                <w:lang w:val="bs-Latn-BA" w:eastAsia="hr-HR"/>
              </w:rPr>
            </w:pP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Liščari</w:t>
            </w:r>
          </w:p>
        </w:tc>
        <w:tc>
          <w:tcPr>
            <w:tcW w:w="1602"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129.820</w:t>
            </w:r>
          </w:p>
        </w:tc>
        <w:tc>
          <w:tcPr>
            <w:tcW w:w="137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107.673</w:t>
            </w: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14.578</w:t>
            </w:r>
          </w:p>
        </w:tc>
        <w:tc>
          <w:tcPr>
            <w:tcW w:w="1726"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252.071</w:t>
            </w:r>
          </w:p>
        </w:tc>
      </w:tr>
      <w:tr w:rsidR="00F85905" w:rsidRPr="006C69B9" w:rsidTr="006C69B9">
        <w:trPr>
          <w:trHeight w:val="12"/>
        </w:trPr>
        <w:tc>
          <w:tcPr>
            <w:tcW w:w="0" w:type="auto"/>
            <w:vMerge/>
            <w:tcBorders>
              <w:top w:val="single" w:sz="8" w:space="0" w:color="FFFFFF"/>
              <w:left w:val="single" w:sz="8" w:space="0" w:color="FFFFFF"/>
              <w:bottom w:val="single" w:sz="24" w:space="0" w:color="FFFFFF"/>
              <w:right w:val="single" w:sz="8" w:space="0" w:color="FFFFFF"/>
            </w:tcBorders>
            <w:shd w:val="clear" w:color="auto" w:fill="DAEEF3"/>
            <w:vAlign w:val="center"/>
            <w:hideMark/>
          </w:tcPr>
          <w:p w:rsidR="006C69B9" w:rsidRPr="006C69B9" w:rsidRDefault="006C69B9" w:rsidP="006C69B9">
            <w:pPr>
              <w:spacing w:after="0" w:line="240" w:lineRule="auto"/>
              <w:rPr>
                <w:rFonts w:ascii="Calibri" w:eastAsia="Times New Roman" w:hAnsi="Calibri" w:cs="Calibri"/>
                <w:sz w:val="20"/>
                <w:szCs w:val="20"/>
                <w:lang w:val="bs-Latn-BA" w:eastAsia="hr-HR"/>
              </w:rPr>
            </w:pP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UKUPNO:</w:t>
            </w:r>
          </w:p>
        </w:tc>
        <w:tc>
          <w:tcPr>
            <w:tcW w:w="1602"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167.617</w:t>
            </w:r>
          </w:p>
        </w:tc>
        <w:tc>
          <w:tcPr>
            <w:tcW w:w="137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131.304</w:t>
            </w: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20.652</w:t>
            </w:r>
          </w:p>
        </w:tc>
        <w:tc>
          <w:tcPr>
            <w:tcW w:w="1726"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319.573</w:t>
            </w:r>
          </w:p>
        </w:tc>
      </w:tr>
      <w:tr w:rsidR="00F85905" w:rsidRPr="006C69B9" w:rsidTr="006C69B9">
        <w:trPr>
          <w:trHeight w:val="62"/>
        </w:trPr>
        <w:tc>
          <w:tcPr>
            <w:tcW w:w="1374" w:type="dxa"/>
            <w:vMerge w:val="restart"/>
            <w:tcBorders>
              <w:top w:val="single" w:sz="24" w:space="0" w:color="FFFFFF"/>
              <w:left w:val="single" w:sz="8" w:space="0" w:color="FFFFFF"/>
              <w:bottom w:val="single" w:sz="8" w:space="0" w:color="FFFFFF"/>
              <w:right w:val="single" w:sz="24"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GODIŠNJI SJEČIVI ETAT</w:t>
            </w:r>
          </w:p>
        </w:tc>
        <w:tc>
          <w:tcPr>
            <w:tcW w:w="1144" w:type="dxa"/>
            <w:tcBorders>
              <w:top w:val="single" w:sz="8" w:space="0" w:color="FFFFFF"/>
              <w:left w:val="single" w:sz="24"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Četinari</w:t>
            </w:r>
          </w:p>
        </w:tc>
        <w:tc>
          <w:tcPr>
            <w:tcW w:w="1602"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20.014</w:t>
            </w:r>
          </w:p>
        </w:tc>
        <w:tc>
          <w:tcPr>
            <w:tcW w:w="137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4.459</w:t>
            </w:r>
          </w:p>
        </w:tc>
        <w:tc>
          <w:tcPr>
            <w:tcW w:w="1144"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w:t>
            </w:r>
          </w:p>
        </w:tc>
        <w:tc>
          <w:tcPr>
            <w:tcW w:w="1726" w:type="dxa"/>
            <w:tcBorders>
              <w:top w:val="single" w:sz="8"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24.473</w:t>
            </w:r>
          </w:p>
        </w:tc>
      </w:tr>
      <w:tr w:rsidR="00F85905" w:rsidRPr="006C69B9" w:rsidTr="006C69B9">
        <w:trPr>
          <w:trHeight w:val="214"/>
        </w:trPr>
        <w:tc>
          <w:tcPr>
            <w:tcW w:w="0" w:type="auto"/>
            <w:vMerge/>
            <w:tcBorders>
              <w:top w:val="single" w:sz="24" w:space="0" w:color="FFFFFF"/>
              <w:left w:val="single" w:sz="8" w:space="0" w:color="FFFFFF"/>
              <w:bottom w:val="single" w:sz="8" w:space="0" w:color="FFFFFF"/>
              <w:right w:val="single" w:sz="24" w:space="0" w:color="FFFFFF"/>
            </w:tcBorders>
            <w:vAlign w:val="center"/>
            <w:hideMark/>
          </w:tcPr>
          <w:p w:rsidR="006C69B9" w:rsidRPr="006C69B9" w:rsidRDefault="006C69B9" w:rsidP="006C69B9">
            <w:pPr>
              <w:spacing w:after="0" w:line="240" w:lineRule="auto"/>
              <w:rPr>
                <w:rFonts w:ascii="Calibri" w:eastAsia="Times New Roman" w:hAnsi="Calibri" w:cs="Calibri"/>
                <w:sz w:val="20"/>
                <w:szCs w:val="20"/>
                <w:lang w:val="bs-Latn-BA" w:eastAsia="hr-HR"/>
              </w:rPr>
            </w:pPr>
          </w:p>
        </w:tc>
        <w:tc>
          <w:tcPr>
            <w:tcW w:w="1144" w:type="dxa"/>
            <w:tcBorders>
              <w:top w:val="single" w:sz="8" w:space="0" w:color="FFFFFF"/>
              <w:left w:val="single" w:sz="24" w:space="0" w:color="FFFFFF"/>
              <w:bottom w:val="single" w:sz="24"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Liščari</w:t>
            </w:r>
          </w:p>
        </w:tc>
        <w:tc>
          <w:tcPr>
            <w:tcW w:w="1602"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49.975</w:t>
            </w:r>
          </w:p>
        </w:tc>
        <w:tc>
          <w:tcPr>
            <w:tcW w:w="1374"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68.916</w:t>
            </w:r>
          </w:p>
        </w:tc>
        <w:tc>
          <w:tcPr>
            <w:tcW w:w="1144"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kern w:val="24"/>
                <w:sz w:val="20"/>
                <w:szCs w:val="20"/>
                <w:lang w:val="bs-Latn-BA" w:eastAsia="hr-HR"/>
              </w:rPr>
              <w:t>118.891</w:t>
            </w:r>
          </w:p>
        </w:tc>
        <w:tc>
          <w:tcPr>
            <w:tcW w:w="1726" w:type="dxa"/>
            <w:tcBorders>
              <w:top w:val="single" w:sz="8" w:space="0" w:color="FFFFFF"/>
              <w:left w:val="single" w:sz="8" w:space="0" w:color="FFFFFF"/>
              <w:bottom w:val="single" w:sz="24"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92.873</w:t>
            </w:r>
          </w:p>
        </w:tc>
      </w:tr>
      <w:tr w:rsidR="00F85905" w:rsidRPr="006C69B9" w:rsidTr="006C69B9">
        <w:trPr>
          <w:trHeight w:val="12"/>
        </w:trPr>
        <w:tc>
          <w:tcPr>
            <w:tcW w:w="0" w:type="auto"/>
            <w:vMerge/>
            <w:tcBorders>
              <w:top w:val="single" w:sz="24" w:space="0" w:color="FFFFFF"/>
              <w:left w:val="single" w:sz="8" w:space="0" w:color="FFFFFF"/>
              <w:bottom w:val="single" w:sz="8" w:space="0" w:color="FFFFFF"/>
              <w:right w:val="single" w:sz="24" w:space="0" w:color="FFFFFF"/>
            </w:tcBorders>
            <w:vAlign w:val="center"/>
            <w:hideMark/>
          </w:tcPr>
          <w:p w:rsidR="006C69B9" w:rsidRPr="006C69B9" w:rsidRDefault="006C69B9" w:rsidP="006C69B9">
            <w:pPr>
              <w:spacing w:after="0" w:line="240" w:lineRule="auto"/>
              <w:rPr>
                <w:rFonts w:ascii="Calibri" w:eastAsia="Times New Roman" w:hAnsi="Calibri" w:cs="Calibri"/>
                <w:sz w:val="20"/>
                <w:szCs w:val="20"/>
                <w:lang w:val="bs-Latn-BA" w:eastAsia="hr-HR"/>
              </w:rPr>
            </w:pPr>
          </w:p>
        </w:tc>
        <w:tc>
          <w:tcPr>
            <w:tcW w:w="1144"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UKUPNO:</w:t>
            </w:r>
          </w:p>
        </w:tc>
        <w:tc>
          <w:tcPr>
            <w:tcW w:w="1602"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69.989</w:t>
            </w:r>
          </w:p>
        </w:tc>
        <w:tc>
          <w:tcPr>
            <w:tcW w:w="1374"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73.375</w:t>
            </w:r>
          </w:p>
        </w:tc>
        <w:tc>
          <w:tcPr>
            <w:tcW w:w="1144"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w:t>
            </w:r>
          </w:p>
        </w:tc>
        <w:tc>
          <w:tcPr>
            <w:tcW w:w="1726" w:type="dxa"/>
            <w:tcBorders>
              <w:top w:val="single" w:sz="24" w:space="0" w:color="FFFFFF"/>
              <w:left w:val="single" w:sz="8" w:space="0" w:color="FFFFFF"/>
              <w:bottom w:val="single" w:sz="8" w:space="0" w:color="FFFFFF"/>
              <w:right w:val="single" w:sz="8" w:space="0" w:color="FFFFFF"/>
            </w:tcBorders>
            <w:shd w:val="clear" w:color="auto" w:fill="DAEEF3"/>
            <w:tcMar>
              <w:top w:w="15" w:type="dxa"/>
              <w:left w:w="70" w:type="dxa"/>
              <w:bottom w:w="0" w:type="dxa"/>
              <w:right w:w="70" w:type="dxa"/>
            </w:tcMar>
            <w:vAlign w:val="center"/>
            <w:hideMark/>
          </w:tcPr>
          <w:p w:rsidR="006C69B9" w:rsidRPr="006C69B9" w:rsidRDefault="006C69B9" w:rsidP="006C69B9">
            <w:pPr>
              <w:spacing w:after="0"/>
              <w:jc w:val="center"/>
              <w:textAlignment w:val="baseline"/>
              <w:rPr>
                <w:rFonts w:ascii="Calibri" w:eastAsia="Times New Roman" w:hAnsi="Calibri" w:cs="Calibri"/>
                <w:sz w:val="20"/>
                <w:szCs w:val="20"/>
                <w:lang w:val="bs-Latn-BA" w:eastAsia="hr-HR"/>
              </w:rPr>
            </w:pPr>
            <w:r w:rsidRPr="006C69B9">
              <w:rPr>
                <w:rFonts w:ascii="Calibri" w:eastAsia="MS Gothic" w:hAnsi="Calibri" w:cs="Calibri"/>
                <w:b/>
                <w:bCs/>
                <w:kern w:val="24"/>
                <w:sz w:val="20"/>
                <w:szCs w:val="20"/>
                <w:lang w:val="bs-Latn-BA" w:eastAsia="hr-HR"/>
              </w:rPr>
              <w:t>143.364</w:t>
            </w:r>
          </w:p>
        </w:tc>
      </w:tr>
    </w:tbl>
    <w:p w:rsidR="006C69B9" w:rsidRPr="006C69B9" w:rsidRDefault="006C69B9" w:rsidP="006C69B9">
      <w:pPr>
        <w:jc w:val="both"/>
        <w:rPr>
          <w:rFonts w:ascii="Calibri" w:eastAsia="Calibri" w:hAnsi="Calibri" w:cs="Times New Roman"/>
          <w:b/>
          <w:bCs/>
          <w:i/>
          <w:sz w:val="16"/>
          <w:szCs w:val="16"/>
          <w:lang w:val="bs-Latn-BA"/>
        </w:rPr>
      </w:pPr>
      <w:r w:rsidRPr="006C69B9">
        <w:rPr>
          <w:rFonts w:ascii="Calibri" w:eastAsia="Calibri" w:hAnsi="Calibri" w:cs="Times New Roman"/>
          <w:b/>
          <w:bCs/>
          <w:i/>
          <w:sz w:val="16"/>
          <w:szCs w:val="16"/>
          <w:lang w:val="bs-Latn-BA"/>
        </w:rPr>
        <w:t xml:space="preserve">Izvor: Federalni zavod za programiranje razvoja </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lastRenderedPageBreak/>
        <w:t xml:space="preserve">Ukupna zaliha drvne mase je procijenjena na 14 014 miliona kubnih metara. Na sjevernom području HNŽ/K susreće se vegetacija kontinentalnog kao i mediteransko-planinskog karaktera. Posebno je u tome karakteristično područje Prenja. Od listopadnih šuma ovdje se nalazi bukva u zajednici sa javorom i jasenom. Na većim nadmorskim visinama bukva se miješa sa borom i jelom. Na ostalim područjima rastu listopadne i mješovite šume brdskih i pretplaninskih područja. </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Najviše šuma je na području općina Konjic, Jablanica i Prozor/rama. Kako bi se održavalo kontinuirano upravljanje, planiranje i gospodarenje ovim značajnim resursom u cilju njegove zaštite, treba donijeti Zakon o šumama HNŽ/K, i na taj način područje šumarstva zakonski je urediti na županijskoj/kantonalnoj razini, do donošenja federalnog Zakona o šumama Federacije BiH ( u proceduri).</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Sa stajališta zaštite i spašavanja potrebno je obratiti posebnu pažnju i insistirati na racionalnom upravljanju šuma i to iz nekoliko razloga: pretjerana deforestacija zbog potreba industrija, a posebno ilegalna neplanska sječa mogu dovesti do problema da tlo nedovoljno zadržava vodu odnosno padavine što može pomoći nastanku poplava te uzrokovati klizišta; s obzirom da je u većini slučajeva čovjek uzročnik šumskih požara potrebno je izvršiti dodatnu edukaciju i provesti kampanje podizanja razine svijesti posebno u smislu sve većeg prisustva ljudi u šumama kroz turističke aktivnosti. </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Značajni problemi sektora poljoprivrede i šumarstva ogledaju se u niskoj produktivnosti poljoprivredne proizvodnje, odsustvu kritične mase poticajnih sredstava razvoja, nedovoljnoj i neadekvatnoj tehnološkoj opremljenosti poljoprivrednih proizvođača, odsustvom prerađivačkih kapaciteta, lošoj educiranosti poljoprivrednih proizvođača, neadekvatnim mjerama prevencije i pripravnosti u smislu odgovora na vremenske nepogode i katastrofe, nedovoljno razvijenoj integralnoj zaštiti šuma, postojanju značajnih miniranih površina šumskog zemljišta i nerazvijenoj finalnoj preradi drveta.</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b/>
          <w:lang w:val="bs-Latn-BA"/>
        </w:rPr>
        <w:t>Zaštita i upravljanje šumama</w:t>
      </w:r>
      <w:r w:rsidRPr="006C69B9">
        <w:rPr>
          <w:rFonts w:ascii="Calibri" w:eastAsia="Calibri" w:hAnsi="Calibri" w:cs="Times New Roman"/>
          <w:lang w:val="bs-Latn-BA"/>
        </w:rPr>
        <w:t>. Upravne, nadzorne, stručne, analitičke, operativne i druge poslove</w:t>
      </w:r>
      <w:r w:rsidRPr="006C69B9">
        <w:rPr>
          <w:rFonts w:ascii="Calibri" w:eastAsia="Calibri" w:hAnsi="Calibri" w:cs="Times New Roman"/>
          <w:vertAlign w:val="superscript"/>
          <w:lang w:val="bs-Latn-BA"/>
        </w:rPr>
        <w:footnoteReference w:id="2"/>
      </w:r>
      <w:r w:rsidRPr="006C69B9">
        <w:rPr>
          <w:rFonts w:ascii="Calibri" w:eastAsia="Calibri" w:hAnsi="Calibri" w:cs="Times New Roman"/>
          <w:lang w:val="bs-Latn-BA"/>
        </w:rPr>
        <w:t xml:space="preserve"> koje se odnose na izvršavanje zakona, propisa i drugih općih akata u okviru nadležnosti obavlja Uprava za šumarstvo koja se nalazi se u sastavu Ministarstva poljoprivrede, vodoprivrede i šumarstva HN županije/kantona.</w:t>
      </w:r>
    </w:p>
    <w:p w:rsidR="006C69B9" w:rsidRPr="006C69B9" w:rsidRDefault="006C69B9" w:rsidP="006C69B9">
      <w:pPr>
        <w:spacing w:after="0" w:line="276" w:lineRule="auto"/>
        <w:contextualSpacing/>
        <w:jc w:val="both"/>
        <w:textAlignment w:val="baseline"/>
        <w:rPr>
          <w:rFonts w:ascii="Calibri" w:eastAsia="Calibri" w:hAnsi="Calibri" w:cs="Calibri"/>
          <w:color w:val="000000"/>
          <w:lang w:val="bs-Latn-BA"/>
        </w:rPr>
      </w:pPr>
      <w:r w:rsidRPr="006C69B9">
        <w:rPr>
          <w:rFonts w:ascii="Calibri" w:eastAsia="Calibri" w:hAnsi="Calibri" w:cs="Calibri"/>
          <w:bCs/>
          <w:color w:val="000000"/>
          <w:kern w:val="24"/>
          <w:lang w:val="bs-Latn-BA"/>
        </w:rPr>
        <w:t>Gospodarenje šumama bilo je propisano Zakonom o šumama („Službene novine F BiH” broj</w:t>
      </w:r>
      <w:r w:rsidRPr="006C69B9">
        <w:rPr>
          <w:rFonts w:ascii="Calibri" w:eastAsia="Calibri" w:hAnsi="Calibri" w:cs="Calibri"/>
          <w:bCs/>
          <w:color w:val="000000"/>
          <w:kern w:val="24"/>
          <w:lang w:val="en-US"/>
        </w:rPr>
        <w:t>:</w:t>
      </w:r>
      <w:r w:rsidRPr="006C69B9">
        <w:rPr>
          <w:rFonts w:ascii="Calibri" w:eastAsia="Calibri" w:hAnsi="Calibri" w:cs="Calibri"/>
          <w:bCs/>
          <w:color w:val="000000"/>
          <w:kern w:val="24"/>
          <w:lang w:val="bs-Latn-BA"/>
        </w:rPr>
        <w:t xml:space="preserve"> 20/02, 29/03 i 37/04), a kasnije Uredbom o šumama („Službene novine F BiH” broj:</w:t>
      </w:r>
      <w:r w:rsidRPr="006C69B9">
        <w:rPr>
          <w:rFonts w:ascii="Calibri" w:eastAsia="Calibri" w:hAnsi="Calibri" w:cs="Calibri"/>
          <w:bCs/>
          <w:color w:val="000000"/>
          <w:kern w:val="24"/>
          <w:lang w:val="en-US"/>
        </w:rPr>
        <w:t xml:space="preserve"> </w:t>
      </w:r>
      <w:r w:rsidRPr="006C69B9">
        <w:rPr>
          <w:rFonts w:ascii="Calibri" w:eastAsia="Calibri" w:hAnsi="Calibri" w:cs="Calibri"/>
          <w:bCs/>
          <w:color w:val="000000"/>
          <w:kern w:val="24"/>
          <w:lang w:val="bs-Latn-BA"/>
        </w:rPr>
        <w:t>83/</w:t>
      </w:r>
      <w:r w:rsidRPr="006C69B9">
        <w:rPr>
          <w:rFonts w:ascii="Calibri" w:eastAsia="Calibri" w:hAnsi="Calibri" w:cs="Calibri"/>
          <w:bCs/>
          <w:color w:val="000000"/>
          <w:kern w:val="24"/>
          <w:lang w:val="en-US"/>
        </w:rPr>
        <w:t>0</w:t>
      </w:r>
      <w:r w:rsidRPr="006C69B9">
        <w:rPr>
          <w:rFonts w:ascii="Calibri" w:eastAsia="Calibri" w:hAnsi="Calibri" w:cs="Calibri"/>
          <w:bCs/>
          <w:color w:val="000000"/>
          <w:kern w:val="24"/>
          <w:lang w:val="bs-Latn-BA"/>
        </w:rPr>
        <w:t xml:space="preserve">9, 26/10 i 38/10), međutim na područja HNK u ovom periodu se nisu upotpunosti inplementirali ni Zakon o šumama niti Uredba o šumama. Od </w:t>
      </w:r>
      <w:r w:rsidRPr="006C69B9">
        <w:rPr>
          <w:rFonts w:ascii="Calibri" w:eastAsia="MS Gothic" w:hAnsi="Calibri" w:cs="Calibri"/>
          <w:bCs/>
          <w:color w:val="000000"/>
          <w:kern w:val="24"/>
          <w:lang w:val="en-US"/>
        </w:rPr>
        <w:t>0</w:t>
      </w:r>
      <w:r w:rsidRPr="006C69B9">
        <w:rPr>
          <w:rFonts w:ascii="Calibri" w:eastAsia="MS Gothic" w:hAnsi="Calibri" w:cs="Calibri"/>
          <w:bCs/>
          <w:color w:val="000000"/>
          <w:kern w:val="24"/>
          <w:lang w:val="bs-Latn-BA"/>
        </w:rPr>
        <w:t xml:space="preserve">6.12.2011. godine Presudom </w:t>
      </w:r>
      <w:r w:rsidRPr="006C69B9">
        <w:rPr>
          <w:rFonts w:ascii="Calibri" w:eastAsia="MS Gothic" w:hAnsi="Calibri" w:cs="Calibri"/>
          <w:bCs/>
          <w:color w:val="000000"/>
          <w:kern w:val="24"/>
          <w:lang w:val="en-US"/>
        </w:rPr>
        <w:t>U</w:t>
      </w:r>
      <w:r w:rsidRPr="006C69B9">
        <w:rPr>
          <w:rFonts w:ascii="Calibri" w:eastAsia="MS Gothic" w:hAnsi="Calibri" w:cs="Calibri"/>
          <w:bCs/>
          <w:color w:val="000000"/>
          <w:kern w:val="24"/>
          <w:lang w:val="bs-Latn-BA"/>
        </w:rPr>
        <w:t>stavnog suda prestala se primjenjivati i Uredba o šumama. Od tada pa sve do danas ne postoje propisi kojim se uređuje oblast šumarstva što predstavlja veliki problem u oblasti šumarstva kao sa aspekta upravljanja, zaštite tako i sa aspekta korištenja ovog najvažnijeg resursa kantona i države BiH.</w:t>
      </w:r>
    </w:p>
    <w:p w:rsidR="006C69B9" w:rsidRPr="006C69B9" w:rsidRDefault="006C69B9" w:rsidP="006C69B9">
      <w:pPr>
        <w:spacing w:before="160" w:after="0" w:line="276" w:lineRule="auto"/>
        <w:jc w:val="both"/>
        <w:textAlignment w:val="baseline"/>
        <w:rPr>
          <w:rFonts w:ascii="Calibri" w:eastAsia="Times New Roman" w:hAnsi="Calibri" w:cs="Calibri"/>
          <w:lang w:val="en-US"/>
        </w:rPr>
      </w:pPr>
      <w:r w:rsidRPr="006C69B9">
        <w:rPr>
          <w:rFonts w:ascii="Calibri" w:eastAsia="MS Gothic" w:hAnsi="Calibri" w:cs="Calibri"/>
          <w:bCs/>
          <w:color w:val="000000"/>
          <w:kern w:val="24"/>
          <w:lang w:val="en-US"/>
        </w:rPr>
        <w:lastRenderedPageBreak/>
        <w:t>Donošenja Zakona o šumama je veoma važno i sa aspekta zaštite šuma od požara. Tim Zakonom propisat će se obaveze Federalnog i kantonalnog ministarstva – federalne i kantonalnih uprava za šumarstvo, obaveze korisnika šuma, ali što je važno osigurat će se i namjenska srestva koja će se  moći koristiti i za finansiranje mjera i aktivnosti vezanim za zaštitu šuma od požara i za sanaciju požarišta.</w:t>
      </w:r>
    </w:p>
    <w:p w:rsidR="006C69B9" w:rsidRPr="006C69B9" w:rsidRDefault="006C69B9" w:rsidP="006C69B9">
      <w:pPr>
        <w:spacing w:line="276" w:lineRule="auto"/>
        <w:rPr>
          <w:rFonts w:ascii="Calibri" w:eastAsia="Calibri" w:hAnsi="Calibri" w:cs="Calibri"/>
          <w:lang w:val="bs-Latn-BA"/>
        </w:rPr>
      </w:pP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S obzirom da nema Zakona o šumama Federacije BiH, a posljedično tome i Zakona o šumama HN županije /kantona nije uspostavljeno JP Šume HN kantona. Ovaj problem predstavlja temeljnu prepreku za učinkovito upravljanje šumskim resursima na području županije/kantona, jer nisu donesene šumsko -gospodarske osnove koje bi imale različite periode važenja – od 2016. godine do 2020. godine. Dominirajuće vrste drveća su lišćarske vrste, a drvne zalihe su najveće u općini Konjic (50,12% ukupnih drvnih zaliha). Značajne zalihe drven mase postoje u gradu Mostaru (22,81%), u općini Prozor/Rama (10,55%) i općini Jablanica (10,08%).</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Kako je to područje većim dijelom i zaštićeno područje (park prirode Prenj), u narednom planskom periodu će biti potrebno posebnu pažnju posvetiti kontroli i ograničavanju pojave nelegalne sječe. Osim toga, postojećim Zakonom o šumama je predviđeno uspostavljanje čuvarske službe u okviru Uprave za šumarstvo HN županije/kantona.</w:t>
      </w:r>
    </w:p>
    <w:p w:rsidR="006C69B9" w:rsidRPr="006C69B9" w:rsidRDefault="006C69B9" w:rsidP="006C69B9">
      <w:pPr>
        <w:widowControl w:val="0"/>
        <w:autoSpaceDE w:val="0"/>
        <w:autoSpaceDN w:val="0"/>
        <w:spacing w:after="0" w:line="240" w:lineRule="auto"/>
        <w:jc w:val="both"/>
        <w:rPr>
          <w:rFonts w:ascii="Calibri" w:eastAsia="Calibri" w:hAnsi="Calibri" w:cs="Calibri"/>
          <w:lang w:val="bs-Latn-BA"/>
        </w:rPr>
      </w:pPr>
      <w:r w:rsidRPr="006C69B9">
        <w:rPr>
          <w:rFonts w:ascii="Calibri" w:eastAsia="Calibri" w:hAnsi="Calibri" w:cs="Calibri"/>
          <w:lang w:val="bs-Latn-BA"/>
        </w:rPr>
        <w:t>U skladu sa prethodnim  Zakonom o šumama („Službene novine Federacije BiH“, broj:  20/02, 29/03 i 37/04) Skupština H-NŽ/K 2005. godine utemeljila je Javno poduzeće Š.G.D. „Šume Hercegovačko-neretvanske“ d.o.o. Mostar i jedino je ovo Javno poduzeće imalo potpisan Ugovor o prijenosu poslova gospodarenjem šumama i šumskim zemljištem na području naše županije/kantona.</w:t>
      </w:r>
    </w:p>
    <w:p w:rsidR="006C69B9" w:rsidRPr="006C69B9" w:rsidRDefault="006C69B9" w:rsidP="006C69B9">
      <w:pPr>
        <w:jc w:val="both"/>
        <w:rPr>
          <w:rFonts w:ascii="Calibri" w:eastAsia="Calibri" w:hAnsi="Calibri" w:cs="Calibri"/>
          <w:lang w:val="bs-Latn-BA"/>
        </w:rPr>
      </w:pPr>
      <w:r w:rsidRPr="006C69B9">
        <w:rPr>
          <w:rFonts w:ascii="Calibri" w:eastAsia="Calibri" w:hAnsi="Calibri" w:cs="Calibri"/>
          <w:lang w:val="bs-Latn-BA"/>
        </w:rPr>
        <w:t xml:space="preserve">Ministarstvo poljoprivrede, šumarstva i vodoprivrede HNŽ/K  u svom sastavu kao unutarnju organizacionu jedinicu ima Upravu za šumarstvo. Kantonalna Uprava za šumarstvo operativne poslove vrši putem područnih  jedinica  - odjela za čuvanje i nadzor šumskih resursa van svog sjedišta u općinama županije / kantona, kako slijedi: </w:t>
      </w:r>
    </w:p>
    <w:p w:rsidR="006C69B9" w:rsidRPr="006C69B9" w:rsidRDefault="006C69B9" w:rsidP="00F85905">
      <w:pPr>
        <w:numPr>
          <w:ilvl w:val="0"/>
          <w:numId w:val="12"/>
        </w:numPr>
        <w:spacing w:before="100" w:beforeAutospacing="1" w:after="100" w:afterAutospacing="1" w:line="240" w:lineRule="auto"/>
        <w:jc w:val="both"/>
        <w:rPr>
          <w:rFonts w:ascii="Calibri" w:eastAsia="Calibri" w:hAnsi="Calibri" w:cs="Calibri"/>
          <w:lang w:val="bs-Latn-BA"/>
        </w:rPr>
      </w:pPr>
      <w:r w:rsidRPr="006C69B9">
        <w:rPr>
          <w:rFonts w:ascii="Calibri" w:eastAsia="Calibri" w:hAnsi="Calibri" w:cs="Calibri"/>
          <w:lang w:val="bs-Latn-BA"/>
        </w:rPr>
        <w:t>Područna jedinica – Odjel 1 sa sjedištem u Mostaru za državne šume i privatne šume u granicama grada Mostara i  općine Čitluk – ukupno djelatnika 8.</w:t>
      </w:r>
    </w:p>
    <w:p w:rsidR="006C69B9" w:rsidRPr="006C69B9" w:rsidRDefault="006C69B9" w:rsidP="00F85905">
      <w:pPr>
        <w:numPr>
          <w:ilvl w:val="0"/>
          <w:numId w:val="12"/>
        </w:numPr>
        <w:spacing w:before="100" w:beforeAutospacing="1" w:after="100" w:afterAutospacing="1" w:line="240" w:lineRule="auto"/>
        <w:jc w:val="both"/>
        <w:rPr>
          <w:rFonts w:ascii="Calibri" w:eastAsia="Calibri" w:hAnsi="Calibri" w:cs="Calibri"/>
          <w:lang w:val="bs-Latn-BA"/>
        </w:rPr>
      </w:pPr>
      <w:r w:rsidRPr="006C69B9">
        <w:rPr>
          <w:rFonts w:ascii="Calibri" w:eastAsia="Calibri" w:hAnsi="Calibri" w:cs="Calibri"/>
          <w:lang w:val="bs-Latn-BA"/>
        </w:rPr>
        <w:t>Područna jedinica – Odjel 2 sa sjedištem u Konjicu za državne i privatne šume u granicama općine Konjic – ukupno djelatnika 22.</w:t>
      </w:r>
    </w:p>
    <w:p w:rsidR="006C69B9" w:rsidRPr="006C69B9" w:rsidRDefault="006C69B9" w:rsidP="00F85905">
      <w:pPr>
        <w:numPr>
          <w:ilvl w:val="0"/>
          <w:numId w:val="12"/>
        </w:numPr>
        <w:spacing w:before="100" w:beforeAutospacing="1" w:after="100" w:afterAutospacing="1" w:line="240" w:lineRule="auto"/>
        <w:jc w:val="both"/>
        <w:rPr>
          <w:rFonts w:ascii="Calibri" w:eastAsia="Calibri" w:hAnsi="Calibri" w:cs="Calibri"/>
          <w:lang w:val="bs-Latn-BA"/>
        </w:rPr>
      </w:pPr>
      <w:r w:rsidRPr="006C69B9">
        <w:rPr>
          <w:rFonts w:ascii="Calibri" w:eastAsia="Calibri" w:hAnsi="Calibri" w:cs="Calibri"/>
          <w:lang w:val="bs-Latn-BA"/>
        </w:rPr>
        <w:t>Područna jedinica – Odjel 3 sa sjedištem u Prozor-Rami za državne i privatne šume u granicama općina Prozor-Rama  i  Jablanica – ukupno djelatnika 13.</w:t>
      </w:r>
    </w:p>
    <w:p w:rsidR="006C69B9" w:rsidRPr="006C69B9" w:rsidRDefault="006C69B9" w:rsidP="00F85905">
      <w:pPr>
        <w:numPr>
          <w:ilvl w:val="0"/>
          <w:numId w:val="12"/>
        </w:numPr>
        <w:spacing w:before="100" w:beforeAutospacing="1" w:after="100" w:afterAutospacing="1" w:line="240" w:lineRule="auto"/>
        <w:jc w:val="both"/>
        <w:rPr>
          <w:rFonts w:ascii="Calibri" w:eastAsia="Calibri" w:hAnsi="Calibri" w:cs="Calibri"/>
          <w:lang w:val="bs-Latn-BA"/>
        </w:rPr>
      </w:pPr>
      <w:r w:rsidRPr="006C69B9">
        <w:rPr>
          <w:rFonts w:ascii="Calibri" w:eastAsia="Calibri" w:hAnsi="Calibri" w:cs="Calibri"/>
          <w:lang w:val="bs-Latn-BA"/>
        </w:rPr>
        <w:t>Područna jedinica – Odjel 4 sa sjedištem u Čapljini za državne i privatne šume u granicama općina Čapljina, Stolac, Neum i Ravno – ukupno djelatnika 8.</w:t>
      </w:r>
    </w:p>
    <w:p w:rsidR="006C69B9" w:rsidRPr="006C69B9" w:rsidRDefault="006C69B9" w:rsidP="006C69B9">
      <w:pPr>
        <w:spacing w:after="120" w:line="276" w:lineRule="auto"/>
        <w:jc w:val="both"/>
        <w:rPr>
          <w:rFonts w:ascii="Calibri" w:eastAsia="Calibri" w:hAnsi="Calibri" w:cs="Calibri"/>
        </w:rPr>
      </w:pPr>
      <w:r w:rsidRPr="006C69B9">
        <w:rPr>
          <w:rFonts w:ascii="Calibri" w:eastAsia="Calibri" w:hAnsi="Calibri" w:cs="Calibri"/>
          <w:lang w:val="bs-Latn-BA"/>
        </w:rPr>
        <w:t>Dakle iz navedenog se vidi da navod  “</w:t>
      </w:r>
      <w:r w:rsidRPr="006C69B9">
        <w:rPr>
          <w:rFonts w:ascii="Calibri" w:eastAsia="Calibri" w:hAnsi="Calibri" w:cs="Calibri"/>
        </w:rPr>
        <w:t>postojećim Zakonom o šumama je predviđeno uspostavljanje čuvarske službe u okviru Uprave za šumarstvo HN županije/kantona“ nije točan jer je već unutar Uprave za šumarstvo formirana čuvarska služba.</w:t>
      </w:r>
    </w:p>
    <w:p w:rsidR="006C69B9" w:rsidRPr="006C69B9" w:rsidRDefault="006C69B9" w:rsidP="006C69B9">
      <w:pPr>
        <w:autoSpaceDE w:val="0"/>
        <w:autoSpaceDN w:val="0"/>
        <w:adjustRightInd w:val="0"/>
        <w:spacing w:after="0" w:line="240" w:lineRule="auto"/>
        <w:ind w:firstLine="708"/>
        <w:jc w:val="both"/>
        <w:rPr>
          <w:rFonts w:ascii="Calibri" w:eastAsia="Times New Roman" w:hAnsi="Calibri" w:cs="Calibri"/>
          <w:lang w:val="en-US"/>
        </w:rPr>
      </w:pPr>
      <w:r w:rsidRPr="006C69B9">
        <w:rPr>
          <w:rFonts w:ascii="Calibri" w:eastAsia="Times New Roman" w:hAnsi="Calibri" w:cs="Calibri"/>
          <w:lang w:val="en-US"/>
        </w:rPr>
        <w:t>Prema ranijoj zakonskoj regulativi u nadležnosti Kantonalne Uprave za šumarstvo je i praćenje izrade i realizacije šumskogospodarskih osnova.</w:t>
      </w:r>
    </w:p>
    <w:p w:rsidR="006C69B9" w:rsidRPr="006C69B9" w:rsidRDefault="006C69B9" w:rsidP="006C69B9">
      <w:pPr>
        <w:autoSpaceDE w:val="0"/>
        <w:autoSpaceDN w:val="0"/>
        <w:adjustRightInd w:val="0"/>
        <w:spacing w:after="0" w:line="240" w:lineRule="auto"/>
        <w:jc w:val="both"/>
        <w:rPr>
          <w:rFonts w:ascii="Calibri" w:eastAsia="Times New Roman" w:hAnsi="Calibri" w:cs="Calibri"/>
          <w:lang w:val="en-US"/>
        </w:rPr>
      </w:pPr>
      <w:r w:rsidRPr="006C69B9">
        <w:rPr>
          <w:rFonts w:ascii="Calibri" w:eastAsia="Times New Roman" w:hAnsi="Calibri" w:cs="Calibri"/>
          <w:lang w:val="en-US"/>
        </w:rPr>
        <w:t xml:space="preserve"> </w:t>
      </w:r>
      <w:r w:rsidRPr="006C69B9">
        <w:rPr>
          <w:rFonts w:ascii="Calibri" w:eastAsia="Times New Roman" w:hAnsi="Calibri" w:cs="Calibri"/>
          <w:lang w:val="en-US"/>
        </w:rPr>
        <w:tab/>
        <w:t xml:space="preserve">Za Šumskogospodarsko područje „Srednje neretvansko“  osnova je vrijedila do 2000. godine, a za područje krša nisu rađene šumskogospodarske osnove. </w:t>
      </w:r>
    </w:p>
    <w:p w:rsidR="006C69B9" w:rsidRPr="006C69B9" w:rsidRDefault="006C69B9" w:rsidP="006C69B9">
      <w:pPr>
        <w:autoSpaceDE w:val="0"/>
        <w:autoSpaceDN w:val="0"/>
        <w:adjustRightInd w:val="0"/>
        <w:spacing w:after="0" w:line="240" w:lineRule="auto"/>
        <w:ind w:firstLine="708"/>
        <w:jc w:val="both"/>
        <w:rPr>
          <w:rFonts w:ascii="Calibri" w:eastAsia="Times New Roman" w:hAnsi="Calibri" w:cs="Calibri"/>
          <w:lang w:val="en-US"/>
        </w:rPr>
      </w:pPr>
      <w:r w:rsidRPr="006C69B9">
        <w:rPr>
          <w:rFonts w:ascii="Calibri" w:eastAsia="Times New Roman" w:hAnsi="Calibri" w:cs="Calibri"/>
          <w:lang w:val="en-US"/>
        </w:rPr>
        <w:t>Šumskogospodarskoj osnovi za šumskogospodarsko područje „Konjičko“ je istekao rok važenja sa 31.12. 2014. godine, a šumskogospodarska osnova za Područje krša „Konjičko“ je rađena za period od 1981-1995 i od tada nije rađena nova šumskogospodarska osnova.</w:t>
      </w:r>
    </w:p>
    <w:p w:rsidR="006C69B9" w:rsidRPr="006C69B9" w:rsidRDefault="006C69B9" w:rsidP="006C69B9">
      <w:pPr>
        <w:autoSpaceDE w:val="0"/>
        <w:autoSpaceDN w:val="0"/>
        <w:adjustRightInd w:val="0"/>
        <w:spacing w:after="0" w:line="240" w:lineRule="auto"/>
        <w:ind w:firstLine="708"/>
        <w:jc w:val="both"/>
        <w:rPr>
          <w:rFonts w:ascii="Calibri" w:eastAsia="Times New Roman" w:hAnsi="Calibri" w:cs="Calibri"/>
          <w:lang w:val="en-US"/>
        </w:rPr>
      </w:pPr>
      <w:r w:rsidRPr="006C69B9">
        <w:rPr>
          <w:rFonts w:ascii="Calibri" w:eastAsia="Times New Roman" w:hAnsi="Calibri" w:cs="Calibri"/>
          <w:lang w:val="en-US"/>
        </w:rPr>
        <w:t xml:space="preserve">Šumskogospodarske osnove za privatne šuma za općine Hercegovačko-neretvanske županije/kantona nisu urađene. </w:t>
      </w:r>
    </w:p>
    <w:p w:rsidR="006C69B9" w:rsidRPr="006C69B9" w:rsidRDefault="006C69B9" w:rsidP="006C69B9">
      <w:pPr>
        <w:rPr>
          <w:rFonts w:ascii="Calibri" w:eastAsia="Calibri" w:hAnsi="Calibri" w:cs="Times New Roman"/>
          <w:lang w:val="bs-Latn-BA"/>
        </w:rPr>
      </w:pP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b/>
          <w:lang w:val="bs-Latn-BA"/>
        </w:rPr>
        <w:lastRenderedPageBreak/>
        <w:t>Vodni resursi.</w:t>
      </w:r>
      <w:r w:rsidRPr="006C69B9">
        <w:rPr>
          <w:rFonts w:ascii="Calibri" w:eastAsia="Calibri" w:hAnsi="Calibri" w:cs="Times New Roman"/>
          <w:lang w:val="bs-Latn-BA"/>
        </w:rPr>
        <w:t xml:space="preserve"> Ukupna dužina od 215 km (od čega je 22 km u Republici Hrvatskoj) i površinom sliva od 5.745.km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Neretva je najveći vodotok na području HNŽ/K i predstavlja najznačajniji vodni resurs u županiji /kantonu (obuhvaća 4 općine HNŽ/K).</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Vodni režim dominantno ovisi od oborina koje manje padaju tijekom vegetacije, a više u jesensko-zimskom periodu. Te oborine zbog nereguliranih kraških vodotoka vodom više snabdijevaju more nego kraška polja, pa su tako malo korisne za poljoprivredu. Ipak, njihovo obilje formiralo je bogatu mrežu vodotoka te stacionarnih voda i njihovih akumulacija. Sa HNŽ/K BiH ima svoj jedini izlaz na more, što uz turističku, ima i visoku akvakulturnu vrijednost. </w:t>
      </w:r>
    </w:p>
    <w:p w:rsidR="006C69B9" w:rsidRPr="006C69B9" w:rsidRDefault="006C69B9" w:rsidP="006C69B9">
      <w:pPr>
        <w:spacing w:line="360" w:lineRule="auto"/>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3019425" cy="2627652"/>
            <wp:effectExtent l="19050" t="0" r="9525"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3022159" cy="2630031"/>
                    </a:xfrm>
                    <a:prstGeom prst="rect">
                      <a:avLst/>
                    </a:prstGeom>
                    <a:ln/>
                  </pic:spPr>
                </pic:pic>
              </a:graphicData>
            </a:graphic>
          </wp:inline>
        </w:drawing>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Slika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Slika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6</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Morfologija sliva rijeke Neretve,Izvor: Vranješ, M., Prskalo M., Džeba, T. Hidrologija i hidrogeologija sliva Neretve i Trebišnjice, osvrt na izgradnju dijela HE sustava – Gornji Horizonti, Građevinski fakultet Sveučilišta u Mostaru, broj 5.,  lipanj, 2013.</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Glavni kopneni vodeni potencijal čini rijeka Neretva koju svojim dotocima nadopunjuju brojne pritoke kao Neretvica, Rama, Grabovica, Drežnica, Buna, Radobolja, Trebižat, Krupa, Bregava i dr. One tvore bogato raspleteni sustav ukupnog života područja, a glavne meĐu njima s mogućnostima navodnjavanja i temelje proizvodnje hrane. Među stacionarnim vodama prednjači atraktivni rezervat Hutovo Blato, te za turizam pogodno Blidinjsko, Boračko i Blatačko jezero. </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t>Pored primarne poljoprivredne proizvodnje značajni izvori kontaminacije voda energetski sektor i industrija, ostali značajniji izvori kao uzgoj i eksploatacija šuma, te ruralna naselja bez kanalizacijskih sustava. Postoje u HNŽ/ poljoprivredni proizvođači koji su prihvatili i primjenjuju standarde tipa Global GAP, HACCP, ISO 9001. i sl., Međutim, cilj je obuhvatiti praktično sve proizvođači ili barem komercijalne proizvođače poljoprivrednih proizvoda. Za ostvarenje ovoga cilja potrebno je institucionalno i kadrovski ojačati stručnu savjetodavnu službu u poljoprivredi kako bi poljoprivrednici unosili optimalne količine gnojiva za proizvodnju usjeva čime bi smanjili izravno otjecanje nitrata i nitrita u podzemne vode (EU Nitratna direktiva 91/676/ECC, Council Directive 91/676/EEC</w:t>
      </w:r>
      <w:r w:rsidRPr="006C69B9">
        <w:rPr>
          <w:rFonts w:ascii="Calibri" w:eastAsia="Calibri" w:hAnsi="Calibri" w:cs="Times New Roman"/>
          <w:lang w:val="bs-Latn-BA"/>
        </w:rPr>
        <w:footnoteReference w:id="3"/>
      </w:r>
      <w:r w:rsidRPr="006C69B9">
        <w:rPr>
          <w:rFonts w:ascii="Calibri" w:eastAsia="Calibri" w:hAnsi="Calibri" w:cs="Times New Roman"/>
          <w:lang w:val="bs-Latn-BA"/>
        </w:rPr>
        <w:t>)</w:t>
      </w:r>
    </w:p>
    <w:p w:rsidR="006C69B9" w:rsidRPr="006C69B9" w:rsidRDefault="006C69B9" w:rsidP="006C69B9">
      <w:pPr>
        <w:spacing w:after="120" w:line="276" w:lineRule="auto"/>
        <w:jc w:val="both"/>
        <w:rPr>
          <w:rFonts w:ascii="Calibri" w:eastAsia="Calibri" w:hAnsi="Calibri" w:cs="Times New Roman"/>
          <w:lang w:val="bs-Latn-BA"/>
        </w:rPr>
      </w:pPr>
      <w:r w:rsidRPr="006C69B9">
        <w:rPr>
          <w:rFonts w:ascii="Calibri" w:eastAsia="Calibri" w:hAnsi="Calibri" w:cs="Times New Roman"/>
          <w:lang w:val="bs-Latn-BA"/>
        </w:rPr>
        <w:lastRenderedPageBreak/>
        <w:t xml:space="preserve">Također, utvrđen je prekomjeran i nepotreban unos mineralnih gnojiva u proizvodnji povrća u zaštićenim prostorima (staklenici i plastenici) koje zagađuju zemljište, a time i vode. U narednim godinama neophodno je uvođenje nitratne direktive naročito na većim stočarskim farmama (odlaganje stajnjaka u nepropusne betonske bazene). U industrijskim pogonima također treba obratiti pozornost na odlaganje tekućega i krutoga otpada kao i na zaštitu zraka od ispuštanja industrijskih plinova. Isto tako, pažnju je potrebno obratiti i na mnoge druge faktore koji utiču na kvaliteta voda, kao npr. saobraćaj, upravljanje šumama ili nedostatak planiranja i provođenja mjera za smanjenje zagađenja voda. </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20" w:name="_Toc57573210"/>
      <w:r w:rsidRPr="006C69B9">
        <w:rPr>
          <w:rFonts w:ascii="Calibri" w:eastAsia="Calibri" w:hAnsi="Calibri" w:cs="Times New Roman"/>
          <w:b/>
          <w:bCs/>
          <w:iCs/>
          <w:color w:val="31849B"/>
          <w:sz w:val="24"/>
          <w:szCs w:val="28"/>
          <w:lang w:eastAsia="hr-HR"/>
        </w:rPr>
        <w:t>Korištenje, zaštita i upravljanje zemljištem</w:t>
      </w:r>
      <w:bookmarkEnd w:id="20"/>
      <w:r w:rsidRPr="006C69B9">
        <w:rPr>
          <w:rFonts w:ascii="Calibri" w:eastAsia="Calibri" w:hAnsi="Calibri" w:cs="Times New Roman"/>
          <w:b/>
          <w:bCs/>
          <w:iCs/>
          <w:color w:val="31849B"/>
          <w:sz w:val="24"/>
          <w:szCs w:val="28"/>
          <w:lang w:eastAsia="hr-HR"/>
        </w:rPr>
        <w:t xml:space="preserve"> </w:t>
      </w:r>
      <w:r w:rsidRPr="006C69B9">
        <w:rPr>
          <w:rFonts w:ascii="Calibri" w:eastAsia="Calibri" w:hAnsi="Calibri" w:cs="Times New Roman"/>
          <w:b/>
          <w:bCs/>
          <w:iCs/>
          <w:color w:val="31849B"/>
          <w:sz w:val="24"/>
          <w:szCs w:val="28"/>
          <w:lang w:eastAsia="hr-HR"/>
        </w:rPr>
        <w:br/>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 xml:space="preserve">Zbog prirodnih odlika, ali i neadekvatnog korištenja i upravljanja zemljištem HN županija/kanton je suočen s fizičkim gubitcima poljoprivrednog zemljišta s oko 9.268 ha (2,10% od ukupne površine), te uništavanjem strukture zemljišta i smanjenjem mogućnosti korištenja zemljišta za razvojne potrebe gospodarstva ili za unaprjeđenje kvaliteta života stanovništva. Najveće degradacije terena i okoline su nastale eksploatacijom kamena, deponijima smeća, ali i gradnjom hidroakumulacija.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33</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Indeksi gubitka obradivoga  poljoprivrednog zemljišta </w:t>
      </w:r>
    </w:p>
    <w:tbl>
      <w:tblPr>
        <w:tblStyle w:val="MediumGrid3-Accent51"/>
        <w:tblW w:w="9204" w:type="dxa"/>
        <w:tblLayout w:type="fixed"/>
        <w:tblLook w:val="06A0"/>
      </w:tblPr>
      <w:tblGrid>
        <w:gridCol w:w="3340"/>
        <w:gridCol w:w="1021"/>
        <w:gridCol w:w="1139"/>
        <w:gridCol w:w="960"/>
        <w:gridCol w:w="960"/>
        <w:gridCol w:w="960"/>
        <w:gridCol w:w="824"/>
      </w:tblGrid>
      <w:tr w:rsidR="00F85905" w:rsidRPr="006C69B9" w:rsidTr="006C69B9">
        <w:trPr>
          <w:cnfStyle w:val="100000000000"/>
          <w:trHeight w:val="300"/>
        </w:trPr>
        <w:tc>
          <w:tcPr>
            <w:cnfStyle w:val="001000000000"/>
            <w:tcW w:w="3340" w:type="dxa"/>
          </w:tcPr>
          <w:p w:rsidR="006C69B9" w:rsidRPr="006C69B9" w:rsidRDefault="006C69B9" w:rsidP="006C69B9">
            <w:pPr>
              <w:spacing w:line="276" w:lineRule="auto"/>
              <w:jc w:val="both"/>
              <w:rPr>
                <w:rFonts w:ascii="Calibri" w:eastAsia="Calibri" w:hAnsi="Calibri" w:cs="Calibri"/>
                <w:sz w:val="20"/>
                <w:szCs w:val="20"/>
                <w:lang w:val="bs-Latn-BA"/>
              </w:rPr>
            </w:pPr>
            <w:r w:rsidRPr="006C69B9">
              <w:rPr>
                <w:rFonts w:ascii="Calibri" w:eastAsia="Calibri" w:hAnsi="Calibri" w:cs="Calibri"/>
                <w:sz w:val="20"/>
                <w:szCs w:val="20"/>
                <w:lang w:val="bs-Latn-BA"/>
              </w:rPr>
              <w:t>Godine</w:t>
            </w:r>
          </w:p>
        </w:tc>
        <w:tc>
          <w:tcPr>
            <w:tcW w:w="1021" w:type="dxa"/>
          </w:tcPr>
          <w:p w:rsidR="006C69B9" w:rsidRPr="006C69B9" w:rsidRDefault="006C69B9" w:rsidP="006C69B9">
            <w:pPr>
              <w:spacing w:line="276" w:lineRule="auto"/>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2010.</w:t>
            </w:r>
          </w:p>
        </w:tc>
        <w:tc>
          <w:tcPr>
            <w:tcW w:w="1139" w:type="dxa"/>
          </w:tcPr>
          <w:p w:rsidR="006C69B9" w:rsidRPr="006C69B9" w:rsidRDefault="006C69B9" w:rsidP="006C69B9">
            <w:pPr>
              <w:spacing w:line="276" w:lineRule="auto"/>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2011.</w:t>
            </w:r>
          </w:p>
        </w:tc>
        <w:tc>
          <w:tcPr>
            <w:tcW w:w="960" w:type="dxa"/>
          </w:tcPr>
          <w:p w:rsidR="006C69B9" w:rsidRPr="006C69B9" w:rsidRDefault="006C69B9" w:rsidP="006C69B9">
            <w:pPr>
              <w:spacing w:line="276" w:lineRule="auto"/>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2012.</w:t>
            </w:r>
          </w:p>
        </w:tc>
        <w:tc>
          <w:tcPr>
            <w:tcW w:w="960" w:type="dxa"/>
          </w:tcPr>
          <w:p w:rsidR="006C69B9" w:rsidRPr="006C69B9" w:rsidRDefault="006C69B9" w:rsidP="006C69B9">
            <w:pPr>
              <w:spacing w:line="276" w:lineRule="auto"/>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2013.</w:t>
            </w:r>
          </w:p>
        </w:tc>
        <w:tc>
          <w:tcPr>
            <w:tcW w:w="960" w:type="dxa"/>
          </w:tcPr>
          <w:p w:rsidR="006C69B9" w:rsidRPr="006C69B9" w:rsidRDefault="006C69B9" w:rsidP="006C69B9">
            <w:pPr>
              <w:spacing w:line="276" w:lineRule="auto"/>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2014.</w:t>
            </w:r>
          </w:p>
        </w:tc>
        <w:tc>
          <w:tcPr>
            <w:tcW w:w="824" w:type="dxa"/>
          </w:tcPr>
          <w:p w:rsidR="006C69B9" w:rsidRPr="006C69B9" w:rsidRDefault="006C69B9" w:rsidP="006C69B9">
            <w:pPr>
              <w:spacing w:line="276" w:lineRule="auto"/>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2015.</w:t>
            </w:r>
          </w:p>
        </w:tc>
      </w:tr>
      <w:tr w:rsidR="00F85905" w:rsidRPr="006C69B9" w:rsidTr="006C69B9">
        <w:trPr>
          <w:trHeight w:val="300"/>
        </w:trPr>
        <w:tc>
          <w:tcPr>
            <w:cnfStyle w:val="001000000000"/>
            <w:tcW w:w="3340"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Ukupno obradivo zemljište-HNŽ/K</w:t>
            </w:r>
          </w:p>
        </w:tc>
        <w:tc>
          <w:tcPr>
            <w:tcW w:w="1021"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27.187</w:t>
            </w:r>
          </w:p>
        </w:tc>
        <w:tc>
          <w:tcPr>
            <w:tcW w:w="1139"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22.020</w:t>
            </w:r>
          </w:p>
        </w:tc>
        <w:tc>
          <w:tcPr>
            <w:tcW w:w="960"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17.919</w:t>
            </w:r>
          </w:p>
        </w:tc>
        <w:tc>
          <w:tcPr>
            <w:tcW w:w="960"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17.919</w:t>
            </w:r>
          </w:p>
        </w:tc>
        <w:tc>
          <w:tcPr>
            <w:tcW w:w="960"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17.919</w:t>
            </w:r>
          </w:p>
        </w:tc>
        <w:tc>
          <w:tcPr>
            <w:tcW w:w="824"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18.570</w:t>
            </w:r>
          </w:p>
        </w:tc>
      </w:tr>
      <w:tr w:rsidR="00F85905" w:rsidRPr="006C69B9" w:rsidTr="006C69B9">
        <w:trPr>
          <w:trHeight w:val="300"/>
        </w:trPr>
        <w:tc>
          <w:tcPr>
            <w:cnfStyle w:val="001000000000"/>
            <w:tcW w:w="3340" w:type="dxa"/>
          </w:tcPr>
          <w:p w:rsidR="006C69B9" w:rsidRPr="006C69B9" w:rsidRDefault="006C69B9" w:rsidP="006C69B9">
            <w:pPr>
              <w:spacing w:line="276" w:lineRule="auto"/>
              <w:jc w:val="both"/>
              <w:rPr>
                <w:rFonts w:ascii="Calibri" w:eastAsia="Calibri" w:hAnsi="Calibri" w:cs="Calibri"/>
                <w:sz w:val="20"/>
                <w:szCs w:val="20"/>
                <w:lang w:val="bs-Latn-BA"/>
              </w:rPr>
            </w:pPr>
            <w:r w:rsidRPr="006C69B9">
              <w:rPr>
                <w:rFonts w:ascii="Calibri" w:eastAsia="Calibri" w:hAnsi="Calibri" w:cs="Calibri"/>
                <w:sz w:val="20"/>
                <w:szCs w:val="20"/>
                <w:lang w:val="bs-Latn-BA"/>
              </w:rPr>
              <w:t>Indeks (2010.=100)</w:t>
            </w:r>
          </w:p>
        </w:tc>
        <w:tc>
          <w:tcPr>
            <w:tcW w:w="1021"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1,00</w:t>
            </w:r>
          </w:p>
        </w:tc>
        <w:tc>
          <w:tcPr>
            <w:tcW w:w="1139"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0,81</w:t>
            </w:r>
          </w:p>
        </w:tc>
        <w:tc>
          <w:tcPr>
            <w:tcW w:w="960"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0,66</w:t>
            </w:r>
          </w:p>
        </w:tc>
        <w:tc>
          <w:tcPr>
            <w:tcW w:w="960"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0,66</w:t>
            </w:r>
          </w:p>
        </w:tc>
        <w:tc>
          <w:tcPr>
            <w:tcW w:w="960"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0,66</w:t>
            </w:r>
          </w:p>
        </w:tc>
        <w:tc>
          <w:tcPr>
            <w:tcW w:w="824" w:type="dxa"/>
          </w:tcPr>
          <w:p w:rsidR="006C69B9" w:rsidRPr="006C69B9" w:rsidRDefault="006C69B9" w:rsidP="006C69B9">
            <w:pPr>
              <w:spacing w:line="276" w:lineRule="auto"/>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0,68</w:t>
            </w:r>
          </w:p>
        </w:tc>
      </w:tr>
    </w:tbl>
    <w:p w:rsidR="006C69B9" w:rsidRPr="006C69B9" w:rsidRDefault="006C69B9" w:rsidP="006C69B9">
      <w:pPr>
        <w:spacing w:after="120" w:line="276" w:lineRule="auto"/>
        <w:jc w:val="both"/>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programiranje razvoja (publikacije 2009. - 2015.)</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Prema podacima prikupljenim iz publikacija Federalnog zavoda za programiranje razvoja vidljivo je da se stepen gubitka zemljišta kreće u rasponu od 19% (2011) do 34% (2014). U navedenom razdoblju izgubljeno je 9.268 ha što čini smanjenje od 34,09% (2014.) ili nešto manje 31,70% u 2015. godini. U zadnjih  šest godine postupcima privođenju pašnjaka drugoj kulturi osposobilo se poljoprivredno  zemljišta za proizvodnju smilja (Helycrhrisum italicum ssp. italicum).</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Najveće smanjenje obradivoga poljoprivrednog zemljišta zabilježeno je 2014./2015. u gradu Mostaru  dalje u općini Prozor/rama 225 ha, Čitluku 94 ha i Jablanici 74 ha Također povećanja su zabilježena u općini Ravno od 1.392 ha (melioracije i komasacija), Čitluku (120 ha – smilje), Neum (440 ha – smilje, masline i dr.) i Stolac (39 ha- smilje). Ipak, povećanje obradivih površina iznosi 651 ha u zadnje dvije godine.</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34</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Obradivo poljoprivredno zemljište HNŽ/K</w:t>
      </w:r>
    </w:p>
    <w:tbl>
      <w:tblPr>
        <w:tblStyle w:val="MediumGrid3-Accent51"/>
        <w:tblW w:w="7862" w:type="dxa"/>
        <w:jc w:val="center"/>
        <w:tblLayout w:type="fixed"/>
        <w:tblLook w:val="06E0"/>
      </w:tblPr>
      <w:tblGrid>
        <w:gridCol w:w="1392"/>
        <w:gridCol w:w="1061"/>
        <w:gridCol w:w="1062"/>
        <w:gridCol w:w="1062"/>
        <w:gridCol w:w="1062"/>
        <w:gridCol w:w="1062"/>
        <w:gridCol w:w="1161"/>
      </w:tblGrid>
      <w:tr w:rsidR="00F85905" w:rsidRPr="006C69B9" w:rsidTr="006C69B9">
        <w:trPr>
          <w:cnfStyle w:val="100000000000"/>
          <w:trHeight w:val="510"/>
          <w:jc w:val="center"/>
        </w:trPr>
        <w:tc>
          <w:tcPr>
            <w:cnfStyle w:val="001000000000"/>
            <w:tcW w:w="1392" w:type="dxa"/>
            <w:vAlign w:val="center"/>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Godina</w:t>
            </w:r>
          </w:p>
        </w:tc>
        <w:tc>
          <w:tcPr>
            <w:tcW w:w="1061" w:type="dxa"/>
            <w:vAlign w:val="center"/>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2011</w:t>
            </w:r>
          </w:p>
        </w:tc>
        <w:tc>
          <w:tcPr>
            <w:tcW w:w="1062" w:type="dxa"/>
            <w:vAlign w:val="center"/>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2012</w:t>
            </w:r>
          </w:p>
        </w:tc>
        <w:tc>
          <w:tcPr>
            <w:tcW w:w="1062" w:type="dxa"/>
            <w:vAlign w:val="center"/>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2013</w:t>
            </w:r>
          </w:p>
        </w:tc>
        <w:tc>
          <w:tcPr>
            <w:tcW w:w="1062" w:type="dxa"/>
            <w:vAlign w:val="center"/>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2014</w:t>
            </w:r>
          </w:p>
        </w:tc>
        <w:tc>
          <w:tcPr>
            <w:tcW w:w="1062" w:type="dxa"/>
            <w:vAlign w:val="center"/>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2015</w:t>
            </w:r>
          </w:p>
        </w:tc>
        <w:tc>
          <w:tcPr>
            <w:tcW w:w="1161" w:type="dxa"/>
            <w:vAlign w:val="center"/>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Razlika 2014/2015</w:t>
            </w:r>
          </w:p>
        </w:tc>
      </w:tr>
      <w:tr w:rsidR="00F85905" w:rsidRPr="006C69B9" w:rsidTr="006C69B9">
        <w:trPr>
          <w:trHeight w:val="255"/>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Čapljina</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3.808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3.909</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3.909</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3.909</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3.815</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-94</w:t>
            </w:r>
          </w:p>
        </w:tc>
      </w:tr>
      <w:tr w:rsidR="00F85905" w:rsidRPr="006C69B9" w:rsidTr="006C69B9">
        <w:trPr>
          <w:trHeight w:val="255"/>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Čitluk</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2.788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2.788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2.788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2.788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2.908</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120</w:t>
            </w:r>
          </w:p>
        </w:tc>
      </w:tr>
      <w:tr w:rsidR="00F85905" w:rsidRPr="006C69B9" w:rsidTr="006C69B9">
        <w:trPr>
          <w:trHeight w:val="255"/>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Jablanica</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423</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423</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423</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423</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349</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-74</w:t>
            </w:r>
          </w:p>
        </w:tc>
      </w:tr>
      <w:tr w:rsidR="00F85905" w:rsidRPr="006C69B9" w:rsidTr="006C69B9">
        <w:trPr>
          <w:trHeight w:val="255"/>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Konjic</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5.158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5.158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5.158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5.158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5.159</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w:t>
            </w:r>
          </w:p>
        </w:tc>
      </w:tr>
      <w:tr w:rsidR="00F85905" w:rsidRPr="006C69B9" w:rsidTr="006C69B9">
        <w:trPr>
          <w:trHeight w:val="244"/>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Grad Mostar</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2.725</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2.945</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2.945</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2.945</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1.997</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-948</w:t>
            </w:r>
          </w:p>
        </w:tc>
      </w:tr>
      <w:tr w:rsidR="00F85905" w:rsidRPr="006C69B9" w:rsidTr="006C69B9">
        <w:trPr>
          <w:trHeight w:val="255"/>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Neum</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628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372</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372</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372</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812</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440</w:t>
            </w:r>
          </w:p>
        </w:tc>
      </w:tr>
      <w:tr w:rsidR="00F85905" w:rsidRPr="006C69B9" w:rsidTr="006C69B9">
        <w:trPr>
          <w:trHeight w:val="281"/>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Prozor/Rama</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3.818</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710</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710</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710</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485</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-225</w:t>
            </w:r>
          </w:p>
        </w:tc>
      </w:tr>
      <w:tr w:rsidR="00F85905" w:rsidRPr="006C69B9" w:rsidTr="006C69B9">
        <w:trPr>
          <w:trHeight w:val="255"/>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Ravno</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1.200</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154</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154</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154</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1.546</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1.392</w:t>
            </w:r>
          </w:p>
        </w:tc>
      </w:tr>
      <w:tr w:rsidR="00F85905" w:rsidRPr="006C69B9" w:rsidTr="006C69B9">
        <w:trPr>
          <w:trHeight w:val="255"/>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Stolac</w:t>
            </w:r>
          </w:p>
        </w:tc>
        <w:tc>
          <w:tcPr>
            <w:tcW w:w="10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1.472</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1.460</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1.460</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1.460</w:t>
            </w:r>
          </w:p>
        </w:tc>
        <w:tc>
          <w:tcPr>
            <w:tcW w:w="1062"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1.499</w:t>
            </w:r>
          </w:p>
        </w:tc>
        <w:tc>
          <w:tcPr>
            <w:tcW w:w="1161" w:type="dxa"/>
            <w:vAlign w:val="center"/>
          </w:tcPr>
          <w:p w:rsidR="006C69B9" w:rsidRPr="006C69B9" w:rsidRDefault="006C69B9" w:rsidP="006C69B9">
            <w:pPr>
              <w:contextualSpacing/>
              <w:jc w:val="right"/>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w:t>
            </w:r>
          </w:p>
        </w:tc>
      </w:tr>
      <w:tr w:rsidR="00F85905" w:rsidRPr="006C69B9" w:rsidTr="006C69B9">
        <w:trPr>
          <w:cnfStyle w:val="010000000000"/>
          <w:trHeight w:val="270"/>
          <w:jc w:val="center"/>
        </w:trPr>
        <w:tc>
          <w:tcPr>
            <w:cnfStyle w:val="001000000000"/>
            <w:tcW w:w="1392" w:type="dxa"/>
          </w:tcPr>
          <w:p w:rsidR="006C69B9" w:rsidRPr="006C69B9" w:rsidRDefault="006C69B9" w:rsidP="006C69B9">
            <w:pPr>
              <w:contextualSpacing/>
              <w:rPr>
                <w:rFonts w:ascii="Calibri" w:eastAsia="Calibri" w:hAnsi="Calibri" w:cs="Calibri"/>
                <w:sz w:val="20"/>
                <w:szCs w:val="20"/>
                <w:lang w:val="bs-Latn-BA"/>
              </w:rPr>
            </w:pPr>
            <w:r w:rsidRPr="006C69B9">
              <w:rPr>
                <w:rFonts w:ascii="Calibri" w:eastAsia="Calibri" w:hAnsi="Calibri" w:cs="Calibri"/>
                <w:sz w:val="20"/>
                <w:szCs w:val="20"/>
                <w:lang w:val="bs-Latn-BA"/>
              </w:rPr>
              <w:t>TOTAL</w:t>
            </w:r>
          </w:p>
        </w:tc>
        <w:tc>
          <w:tcPr>
            <w:tcW w:w="1061" w:type="dxa"/>
            <w:vAlign w:val="center"/>
          </w:tcPr>
          <w:p w:rsidR="006C69B9" w:rsidRPr="006C69B9" w:rsidRDefault="006C69B9" w:rsidP="006C69B9">
            <w:pPr>
              <w:contextualSpacing/>
              <w:jc w:val="right"/>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22.020</w:t>
            </w:r>
          </w:p>
        </w:tc>
        <w:tc>
          <w:tcPr>
            <w:tcW w:w="1062" w:type="dxa"/>
            <w:vAlign w:val="center"/>
          </w:tcPr>
          <w:p w:rsidR="006C69B9" w:rsidRPr="006C69B9" w:rsidRDefault="006C69B9" w:rsidP="006C69B9">
            <w:pPr>
              <w:contextualSpacing/>
              <w:jc w:val="right"/>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17.919</w:t>
            </w:r>
          </w:p>
        </w:tc>
        <w:tc>
          <w:tcPr>
            <w:tcW w:w="1062" w:type="dxa"/>
            <w:vAlign w:val="center"/>
          </w:tcPr>
          <w:p w:rsidR="006C69B9" w:rsidRPr="006C69B9" w:rsidRDefault="006C69B9" w:rsidP="006C69B9">
            <w:pPr>
              <w:contextualSpacing/>
              <w:jc w:val="right"/>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17.919</w:t>
            </w:r>
          </w:p>
        </w:tc>
        <w:tc>
          <w:tcPr>
            <w:tcW w:w="1062" w:type="dxa"/>
            <w:vAlign w:val="center"/>
          </w:tcPr>
          <w:p w:rsidR="006C69B9" w:rsidRPr="006C69B9" w:rsidRDefault="006C69B9" w:rsidP="006C69B9">
            <w:pPr>
              <w:contextualSpacing/>
              <w:jc w:val="right"/>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17.919</w:t>
            </w:r>
          </w:p>
        </w:tc>
        <w:tc>
          <w:tcPr>
            <w:tcW w:w="1062" w:type="dxa"/>
            <w:vAlign w:val="center"/>
          </w:tcPr>
          <w:p w:rsidR="006C69B9" w:rsidRPr="006C69B9" w:rsidRDefault="006C69B9" w:rsidP="006C69B9">
            <w:pPr>
              <w:contextualSpacing/>
              <w:jc w:val="right"/>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18.570</w:t>
            </w:r>
          </w:p>
        </w:tc>
        <w:tc>
          <w:tcPr>
            <w:tcW w:w="1161" w:type="dxa"/>
            <w:vAlign w:val="center"/>
          </w:tcPr>
          <w:p w:rsidR="006C69B9" w:rsidRPr="006C69B9" w:rsidRDefault="006C69B9" w:rsidP="006C69B9">
            <w:pPr>
              <w:contextualSpacing/>
              <w:jc w:val="right"/>
              <w:cnfStyle w:val="010000000000"/>
              <w:rPr>
                <w:rFonts w:ascii="Calibri" w:eastAsia="Calibri" w:hAnsi="Calibri" w:cs="Calibri"/>
                <w:sz w:val="18"/>
                <w:szCs w:val="18"/>
                <w:lang w:val="bs-Latn-BA"/>
              </w:rPr>
            </w:pPr>
            <w:r w:rsidRPr="006C69B9">
              <w:rPr>
                <w:rFonts w:ascii="Calibri" w:eastAsia="Calibri" w:hAnsi="Calibri" w:cs="Calibri"/>
                <w:sz w:val="18"/>
                <w:szCs w:val="18"/>
                <w:lang w:val="bs-Latn-BA"/>
              </w:rPr>
              <w:t>651</w:t>
            </w:r>
          </w:p>
        </w:tc>
      </w:tr>
    </w:tbl>
    <w:p w:rsidR="006C69B9" w:rsidRPr="006C69B9" w:rsidRDefault="006C69B9" w:rsidP="006C69B9">
      <w:pPr>
        <w:spacing w:after="120" w:line="276" w:lineRule="auto"/>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 FBiH</w:t>
      </w:r>
    </w:p>
    <w:p w:rsidR="006C69B9" w:rsidRPr="006C69B9" w:rsidRDefault="006C69B9" w:rsidP="006C69B9">
      <w:pPr>
        <w:spacing w:after="0" w:line="276" w:lineRule="auto"/>
        <w:jc w:val="both"/>
        <w:rPr>
          <w:rFonts w:ascii="Calibri" w:eastAsia="Times New Roman" w:hAnsi="Calibri" w:cs="Calibri"/>
          <w:lang w:eastAsia="hr-HR"/>
        </w:rPr>
      </w:pPr>
      <w:r w:rsidRPr="006C69B9">
        <w:rPr>
          <w:rFonts w:ascii="Calibri" w:eastAsia="Times New Roman" w:hAnsi="Calibri" w:cs="Calibri"/>
          <w:lang w:eastAsia="hr-HR"/>
        </w:rPr>
        <w:lastRenderedPageBreak/>
        <w:t>Što se tiče „</w:t>
      </w:r>
      <w:r w:rsidRPr="006C69B9">
        <w:rPr>
          <w:rFonts w:ascii="Calibri" w:eastAsia="Times New Roman" w:hAnsi="Calibri" w:cs="Calibri"/>
          <w:i/>
          <w:lang w:eastAsia="hr-HR"/>
        </w:rPr>
        <w:t>prenamjene poljoprivrednog  u građevinsko zemljište</w:t>
      </w:r>
      <w:r w:rsidRPr="006C69B9">
        <w:rPr>
          <w:rFonts w:ascii="Calibri" w:eastAsia="Times New Roman" w:hAnsi="Calibri" w:cs="Calibri"/>
          <w:lang w:eastAsia="hr-HR"/>
        </w:rPr>
        <w:t xml:space="preserve">“ potrebno je prikupljena sredstva vratiti ponovo u poljoprivredu. </w:t>
      </w:r>
      <w:r w:rsidRPr="006C69B9">
        <w:rPr>
          <w:rFonts w:ascii="Calibri" w:eastAsia="Times New Roman" w:hAnsi="Calibri" w:cs="Calibri"/>
          <w:color w:val="000000"/>
          <w:lang w:eastAsia="hr-HR"/>
        </w:rPr>
        <w:t xml:space="preserve">Institucionalno upravljanje poljoprivrednim zemljištem smješteno je u Zavodu za zemljište pri Ministarstvu poljoprivrede, vodoprivrede i šumarstva HN županije/kantona. </w:t>
      </w:r>
      <w:r w:rsidRPr="006C69B9">
        <w:rPr>
          <w:rFonts w:ascii="Calibri" w:eastAsia="Times New Roman" w:hAnsi="Calibri" w:cs="Calibri"/>
          <w:lang w:eastAsia="hr-HR"/>
        </w:rPr>
        <w:t>Po Zakonu o ministarstvima i drugim tijelima kantonalne uprave  utvrđen je djelokrug poslova Zavoda, u koje spada i monitoring nad provođenjem poslova zaštite i načina korištenja poljoprivrednog zemljišta  Formiranje  povjerenstva  za upravljanjem poljoprivrednim zemljištem nema ZAKONSKOG OSNOVA  . Također,    treba praviti razliku između poljoprivrednog zemljišta u državnoj svojini i privatnog poljoprivrednog zemljišta, po pitanju  upravljanja istim.</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color w:val="000000"/>
          <w:lang w:val="bs-Latn-BA"/>
        </w:rPr>
        <w:t>Međutim, potrebno je osnažiti Zavod putom uspostave Informacijskog sustava. Monitoring nad provedebom navedenih poslova trebalo bi raditi Povjerenstvo za upravljanje poljoprivrednim zemljištem koje bi formiralo MPVŠ HN županije/kantona.</w:t>
      </w:r>
    </w:p>
    <w:p w:rsidR="006C69B9" w:rsidRPr="006C69B9" w:rsidRDefault="006C69B9" w:rsidP="006C69B9">
      <w:pPr>
        <w:spacing w:after="0" w:line="276" w:lineRule="auto"/>
        <w:jc w:val="both"/>
        <w:rPr>
          <w:rFonts w:ascii="Calibri" w:eastAsia="Times New Roman" w:hAnsi="Calibri" w:cs="Calibri"/>
          <w:lang w:eastAsia="hr-HR"/>
        </w:rPr>
      </w:pPr>
      <w:r w:rsidRPr="006C69B9">
        <w:rPr>
          <w:rFonts w:ascii="Calibri" w:eastAsia="Times New Roman" w:hAnsi="Calibri" w:cs="Calibri"/>
          <w:lang w:eastAsia="hr-HR"/>
        </w:rPr>
        <w:t xml:space="preserve">Kao najveći uzročnici zagađenja poljoprivrednog zemljišta identificirani su neadekvatno odloženi otpad iz industrije i domaćinstava, otpadne vode septičkih jama, preljeva i direktnih izlijevanja u tlo, postojanje minskih polja, neadekvatno i nekontrolirano korištenje pesticida i mineralnih gnojiva u poljoprivredi. Razmotriti mogućnost da se pobliže detektiraju zagađenija od manje zagađenih područja.  Podatke o zagađenosti odnosno  kvalitetu  zemljišta svake godine kantonalno ministarstvo dostavlja Federalnom ministarstvu poljoprivrede koje raspolaže sa preciznim podatcima. </w:t>
      </w:r>
    </w:p>
    <w:p w:rsidR="006C69B9" w:rsidRPr="006C69B9" w:rsidRDefault="006C69B9" w:rsidP="006C69B9">
      <w:pPr>
        <w:spacing w:after="120" w:line="276" w:lineRule="auto"/>
        <w:jc w:val="both"/>
        <w:rPr>
          <w:rFonts w:ascii="Calibri" w:eastAsia="Calibri" w:hAnsi="Calibri" w:cs="Calibri"/>
          <w:lang w:val="bs-Latn-BA"/>
        </w:rPr>
      </w:pPr>
      <w:r w:rsidRPr="006C69B9">
        <w:rPr>
          <w:rFonts w:ascii="Calibri" w:eastAsia="Calibri" w:hAnsi="Calibri" w:cs="Calibri"/>
          <w:lang w:val="bs-Latn-BA"/>
        </w:rPr>
        <w:t xml:space="preserve"> </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21" w:name="_Toc57573211"/>
      <w:r w:rsidRPr="006C69B9">
        <w:rPr>
          <w:rFonts w:ascii="Calibri" w:eastAsia="Calibri" w:hAnsi="Calibri" w:cs="Times New Roman"/>
          <w:b/>
          <w:bCs/>
          <w:iCs/>
          <w:color w:val="31849B"/>
          <w:sz w:val="24"/>
          <w:szCs w:val="28"/>
          <w:lang w:eastAsia="hr-HR"/>
        </w:rPr>
        <w:t>Turizam i ugostiteljstvo</w:t>
      </w:r>
      <w:bookmarkEnd w:id="21"/>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22" w:name="_Toc57573212"/>
      <w:r w:rsidRPr="006C69B9">
        <w:rPr>
          <w:rFonts w:ascii="Calibri" w:eastAsia="Calibri" w:hAnsi="Calibri" w:cs="Times New Roman"/>
          <w:b/>
          <w:bCs/>
          <w:color w:val="4BACC6"/>
          <w:szCs w:val="26"/>
          <w:lang w:val="bs-Latn-BA" w:eastAsia="hr-HR"/>
        </w:rPr>
        <w:t xml:space="preserve">Pregled ostvarenog broja </w:t>
      </w:r>
      <w:r w:rsidRPr="006C69B9">
        <w:rPr>
          <w:rFonts w:ascii="Calibri" w:eastAsia="Calibri" w:hAnsi="Calibri" w:cs="Calibri"/>
          <w:b/>
          <w:bCs/>
          <w:color w:val="4BACC6"/>
          <w:szCs w:val="26"/>
          <w:lang w:val="bs-Latn-BA" w:eastAsia="hr-HR"/>
        </w:rPr>
        <w:t>dolazaka</w:t>
      </w:r>
      <w:r w:rsidRPr="006C69B9">
        <w:rPr>
          <w:rFonts w:ascii="Calibri" w:eastAsia="Calibri" w:hAnsi="Calibri" w:cs="Times New Roman"/>
          <w:b/>
          <w:bCs/>
          <w:color w:val="4BACC6"/>
          <w:szCs w:val="26"/>
          <w:lang w:val="bs-Latn-BA" w:eastAsia="hr-HR"/>
        </w:rPr>
        <w:t xml:space="preserve"> i noćenja turista</w:t>
      </w:r>
      <w:bookmarkEnd w:id="22"/>
      <w:r w:rsidRPr="006C69B9">
        <w:rPr>
          <w:rFonts w:ascii="Calibri" w:eastAsia="Calibri" w:hAnsi="Calibri" w:cs="Times New Roman"/>
          <w:b/>
          <w:bCs/>
          <w:color w:val="4BACC6"/>
          <w:szCs w:val="26"/>
          <w:lang w:val="bs-Latn-BA" w:eastAsia="hr-HR"/>
        </w:rPr>
        <w:t xml:space="preserve"> </w:t>
      </w:r>
      <w:r w:rsidRPr="006C69B9">
        <w:rPr>
          <w:rFonts w:ascii="Calibri" w:eastAsia="Calibri" w:hAnsi="Calibri" w:cs="Times New Roman"/>
          <w:b/>
          <w:bCs/>
          <w:color w:val="4BACC6"/>
          <w:szCs w:val="26"/>
          <w:lang w:val="bs-Latn-BA" w:eastAsia="hr-HR"/>
        </w:rPr>
        <w:br/>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Prema službenim podacima Federalnog zavoda za statistiku</w:t>
      </w:r>
      <w:r w:rsidRPr="006C69B9">
        <w:rPr>
          <w:rFonts w:ascii="Calibri" w:eastAsia="Calibri" w:hAnsi="Calibri" w:cs="Calibri"/>
          <w:vertAlign w:val="superscript"/>
          <w:lang w:val="bs-Latn-BA"/>
        </w:rPr>
        <w:footnoteReference w:id="4"/>
      </w:r>
      <w:r w:rsidRPr="006C69B9">
        <w:rPr>
          <w:rFonts w:ascii="Calibri" w:eastAsia="Calibri" w:hAnsi="Calibri" w:cs="Calibri"/>
          <w:lang w:val="bs-Latn-BA"/>
        </w:rPr>
        <w:t xml:space="preserve"> (FZS) u 2019. godini u Hercegovačko-neretvanskoj županiji/kantonu (HNŽ/K) ukupno je registrirano </w:t>
      </w:r>
      <w:r w:rsidRPr="006C69B9">
        <w:rPr>
          <w:rFonts w:ascii="Calibri" w:eastAsia="Calibri" w:hAnsi="Calibri" w:cs="Calibri"/>
          <w:b/>
          <w:lang w:val="bs-Latn-BA"/>
        </w:rPr>
        <w:t>317,3 tisuće dolazaka i 607,5 tisuća noćenja turista</w:t>
      </w:r>
      <w:r w:rsidRPr="006C69B9">
        <w:rPr>
          <w:rFonts w:ascii="Calibri" w:eastAsia="Calibri" w:hAnsi="Calibri" w:cs="Calibri"/>
          <w:lang w:val="bs-Latn-BA"/>
        </w:rPr>
        <w:t xml:space="preserve">. Istovremeno je na području Federacije Bosne i Hercegovine (FBiH) registrirano 1,2 milijuna dolazaka i 2,4 milijuna noćenja turista, što znači da je HNŽ/K sudjelovala s oko </w:t>
      </w:r>
      <w:r w:rsidRPr="006C69B9">
        <w:rPr>
          <w:rFonts w:ascii="Calibri" w:eastAsia="Calibri" w:hAnsi="Calibri" w:cs="Calibri"/>
          <w:b/>
          <w:lang w:val="bs-Latn-BA"/>
        </w:rPr>
        <w:t>25% (ili jednom četvrtinom) u ukupnom turističkom prometu koji je registriran u FBiH u 2019</w:t>
      </w:r>
      <w:r w:rsidRPr="006C69B9">
        <w:rPr>
          <w:rFonts w:ascii="Calibri" w:eastAsia="Calibri" w:hAnsi="Calibri" w:cs="Calibri"/>
          <w:lang w:val="bs-Latn-BA"/>
        </w:rPr>
        <w:t xml:space="preserve">., odnosno da je HNŽ/K, odmah iza kantona Sarajevo, turistički najaktivnija županija/kanton u FBiH (Tabela 35, Grafikon 2). </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Međutim, kako je HNŽ/K 2015. godine sudjelovao s oko 28% u ukupno registriranom broju turističkih dolazaka te s oko 32% u ukupno registriranom broju noćenja, može se zaključiti da </w:t>
      </w:r>
      <w:r w:rsidRPr="006C69B9">
        <w:rPr>
          <w:rFonts w:ascii="Calibri" w:eastAsia="Calibri" w:hAnsi="Calibri" w:cs="Calibri"/>
          <w:b/>
          <w:lang w:val="bs-Latn-BA"/>
        </w:rPr>
        <w:t>udio HNŽ/K u ukupnom turističkom prometu u FBiH opada</w:t>
      </w:r>
      <w:r w:rsidRPr="006C69B9">
        <w:rPr>
          <w:rFonts w:ascii="Calibri" w:eastAsia="Calibri" w:hAnsi="Calibri" w:cs="Calibri"/>
          <w:lang w:val="bs-Latn-BA"/>
        </w:rPr>
        <w:t>, ili da druge županije/kantoni turistički brže razvijaju i rastu u odnosu na HNŽ/K.</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35</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Turistički promet u FBIH u 2019. po županijama/kantonima</w:t>
      </w:r>
    </w:p>
    <w:tbl>
      <w:tblPr>
        <w:tblStyle w:val="MediumGrid3-Accent51"/>
        <w:tblW w:w="9680" w:type="dxa"/>
        <w:tblLayout w:type="fixed"/>
        <w:tblLook w:val="06E0"/>
      </w:tblPr>
      <w:tblGrid>
        <w:gridCol w:w="3520"/>
        <w:gridCol w:w="1540"/>
        <w:gridCol w:w="1540"/>
        <w:gridCol w:w="1540"/>
        <w:gridCol w:w="1540"/>
      </w:tblGrid>
      <w:tr w:rsidR="00F85905" w:rsidRPr="006C69B9" w:rsidTr="006C69B9">
        <w:trPr>
          <w:cnfStyle w:val="100000000000"/>
          <w:trHeight w:val="63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Županija/kanton</w:t>
            </w:r>
          </w:p>
        </w:tc>
        <w:tc>
          <w:tcPr>
            <w:tcW w:w="154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w:t>
            </w:r>
          </w:p>
        </w:tc>
        <w:tc>
          <w:tcPr>
            <w:tcW w:w="154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w:t>
            </w:r>
          </w:p>
        </w:tc>
        <w:tc>
          <w:tcPr>
            <w:tcW w:w="154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 (%)</w:t>
            </w:r>
          </w:p>
        </w:tc>
        <w:tc>
          <w:tcPr>
            <w:tcW w:w="154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 (%)</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Kanton Sarajevo</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667.756</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1.309.113</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54,41</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55,01</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 xml:space="preserve">Hercegovačko-neretvanski </w:t>
            </w:r>
          </w:p>
        </w:tc>
        <w:tc>
          <w:tcPr>
            <w:tcW w:w="1540" w:type="dxa"/>
            <w:shd w:val="clear" w:color="auto" w:fill="4BACC6"/>
          </w:tcPr>
          <w:p w:rsidR="006C69B9" w:rsidRPr="006C69B9" w:rsidRDefault="006C69B9" w:rsidP="006C69B9">
            <w:pPr>
              <w:jc w:val="right"/>
              <w:cnfStyle w:val="000000000000"/>
              <w:rPr>
                <w:rFonts w:ascii="Calibri" w:eastAsia="Calibri" w:hAnsi="Calibri" w:cs="Calibri"/>
                <w:color w:val="FFFFFF"/>
                <w:sz w:val="20"/>
                <w:szCs w:val="20"/>
                <w:lang w:val="bs-Latn-BA"/>
              </w:rPr>
            </w:pPr>
            <w:r w:rsidRPr="006C69B9">
              <w:rPr>
                <w:rFonts w:ascii="Calibri" w:eastAsia="Calibri" w:hAnsi="Calibri" w:cs="Calibri"/>
                <w:color w:val="FFFFFF"/>
                <w:sz w:val="20"/>
                <w:szCs w:val="20"/>
                <w:lang w:val="bs-Latn-BA"/>
              </w:rPr>
              <w:t>317.311</w:t>
            </w:r>
          </w:p>
        </w:tc>
        <w:tc>
          <w:tcPr>
            <w:tcW w:w="1540" w:type="dxa"/>
            <w:shd w:val="clear" w:color="auto" w:fill="4BACC6"/>
          </w:tcPr>
          <w:p w:rsidR="006C69B9" w:rsidRPr="006C69B9" w:rsidRDefault="006C69B9" w:rsidP="006C69B9">
            <w:pPr>
              <w:jc w:val="right"/>
              <w:cnfStyle w:val="000000000000"/>
              <w:rPr>
                <w:rFonts w:ascii="Calibri" w:eastAsia="Calibri" w:hAnsi="Calibri" w:cs="Calibri"/>
                <w:color w:val="FFFFFF"/>
                <w:sz w:val="20"/>
                <w:szCs w:val="20"/>
                <w:lang w:val="bs-Latn-BA"/>
              </w:rPr>
            </w:pPr>
            <w:r w:rsidRPr="006C69B9">
              <w:rPr>
                <w:rFonts w:ascii="Calibri" w:eastAsia="Calibri" w:hAnsi="Calibri" w:cs="Calibri"/>
                <w:color w:val="FFFFFF"/>
                <w:sz w:val="20"/>
                <w:szCs w:val="20"/>
                <w:lang w:val="bs-Latn-BA"/>
              </w:rPr>
              <w:t>607.508</w:t>
            </w:r>
          </w:p>
        </w:tc>
        <w:tc>
          <w:tcPr>
            <w:tcW w:w="1540" w:type="dxa"/>
            <w:shd w:val="clear" w:color="auto" w:fill="4BACC6"/>
          </w:tcPr>
          <w:p w:rsidR="006C69B9" w:rsidRPr="006C69B9" w:rsidRDefault="006C69B9" w:rsidP="006C69B9">
            <w:pPr>
              <w:jc w:val="right"/>
              <w:cnfStyle w:val="000000000000"/>
              <w:rPr>
                <w:rFonts w:ascii="Calibri" w:eastAsia="Calibri" w:hAnsi="Calibri" w:cs="Calibri"/>
                <w:color w:val="FFFFFF"/>
                <w:sz w:val="20"/>
                <w:szCs w:val="20"/>
                <w:lang w:val="bs-Latn-BA"/>
              </w:rPr>
            </w:pPr>
            <w:r w:rsidRPr="006C69B9">
              <w:rPr>
                <w:rFonts w:ascii="Calibri" w:eastAsia="Calibri" w:hAnsi="Calibri" w:cs="Calibri"/>
                <w:color w:val="FFFFFF"/>
                <w:sz w:val="20"/>
                <w:szCs w:val="20"/>
                <w:lang w:val="bs-Latn-BA"/>
              </w:rPr>
              <w:t>25,86</w:t>
            </w:r>
          </w:p>
        </w:tc>
        <w:tc>
          <w:tcPr>
            <w:tcW w:w="1540" w:type="dxa"/>
            <w:shd w:val="clear" w:color="auto" w:fill="4BACC6"/>
          </w:tcPr>
          <w:p w:rsidR="006C69B9" w:rsidRPr="006C69B9" w:rsidRDefault="006C69B9" w:rsidP="006C69B9">
            <w:pPr>
              <w:jc w:val="right"/>
              <w:cnfStyle w:val="000000000000"/>
              <w:rPr>
                <w:rFonts w:ascii="Calibri" w:eastAsia="Calibri" w:hAnsi="Calibri" w:cs="Calibri"/>
                <w:color w:val="FFFFFF"/>
                <w:sz w:val="20"/>
                <w:szCs w:val="20"/>
                <w:lang w:val="bs-Latn-BA"/>
              </w:rPr>
            </w:pPr>
            <w:r w:rsidRPr="006C69B9">
              <w:rPr>
                <w:rFonts w:ascii="Calibri" w:eastAsia="Calibri" w:hAnsi="Calibri" w:cs="Calibri"/>
                <w:color w:val="FFFFFF"/>
                <w:sz w:val="20"/>
                <w:szCs w:val="20"/>
                <w:lang w:val="bs-Latn-BA"/>
              </w:rPr>
              <w:t>25,53</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 xml:space="preserve">Zeničko-dobojski </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38.852</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125.317</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3,17</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5,27</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 xml:space="preserve">Unsko-sanski </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64.416</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101.210</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5,25</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4,25</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lastRenderedPageBreak/>
              <w:t xml:space="preserve">Tuzlanski </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48.883</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91.923</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3,98</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3,86</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Srednjobosanski</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54.028</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90.381</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4,40</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3,80</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Kanton 10</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12.949</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19.693</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1,06</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0,83</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 xml:space="preserve">Posavski </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10.975</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15.310</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0,89</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0,64</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Zapadnohercegovački</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9.740</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14.513</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0,79</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0,61</w:t>
            </w:r>
          </w:p>
        </w:tc>
      </w:tr>
      <w:tr w:rsidR="00F85905" w:rsidRPr="006C69B9" w:rsidTr="006C69B9">
        <w:trPr>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Bosansko-podrinjski</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2.335</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4.733</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0,19</w:t>
            </w:r>
          </w:p>
        </w:tc>
        <w:tc>
          <w:tcPr>
            <w:tcW w:w="154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0,20</w:t>
            </w:r>
          </w:p>
        </w:tc>
      </w:tr>
      <w:tr w:rsidR="00F85905" w:rsidRPr="006C69B9" w:rsidTr="006C69B9">
        <w:trPr>
          <w:cnfStyle w:val="010000000000"/>
          <w:trHeight w:val="300"/>
        </w:trPr>
        <w:tc>
          <w:tcPr>
            <w:cnfStyle w:val="001000000000"/>
            <w:tcW w:w="3520"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Ukupno</w:t>
            </w:r>
          </w:p>
        </w:tc>
        <w:tc>
          <w:tcPr>
            <w:tcW w:w="1540"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1.227.245</w:t>
            </w:r>
          </w:p>
        </w:tc>
        <w:tc>
          <w:tcPr>
            <w:tcW w:w="1540"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2.379.701</w:t>
            </w:r>
          </w:p>
        </w:tc>
        <w:tc>
          <w:tcPr>
            <w:tcW w:w="1540"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100,00</w:t>
            </w:r>
          </w:p>
        </w:tc>
        <w:tc>
          <w:tcPr>
            <w:tcW w:w="1540"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100,00</w:t>
            </w:r>
          </w:p>
        </w:tc>
      </w:tr>
    </w:tbl>
    <w:p w:rsidR="006C69B9" w:rsidRPr="006C69B9" w:rsidRDefault="006C69B9" w:rsidP="006C69B9">
      <w:pPr>
        <w:spacing w:line="276" w:lineRule="auto"/>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 (2020). Kantoni u brojkama. Sarajevo: Federalni zavod za statistiku.</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Ovdje treba naglasiti i činjenicu da je stvarni turistički promet u HNŽ/K (kao  i u cijeloj FBiH) sigurno višestruko veći zbog velikog udjela neprijavljenog turističkog prometa. Prema nekim konzervativnim ali i neslužbenim procjenama, samo u Neumu, Međugorju i Mostaru se godišnje ostvari </w:t>
      </w:r>
      <w:r w:rsidRPr="006C69B9">
        <w:rPr>
          <w:rFonts w:ascii="Calibri" w:eastAsia="Calibri" w:hAnsi="Calibri" w:cs="Calibri"/>
          <w:b/>
          <w:lang w:val="bs-Latn-BA"/>
        </w:rPr>
        <w:t>oko 3,5 - 4 milijuna noćenja</w:t>
      </w:r>
      <w:r w:rsidRPr="006C69B9">
        <w:rPr>
          <w:rFonts w:ascii="Calibri" w:eastAsia="Calibri" w:hAnsi="Calibri" w:cs="Calibri"/>
          <w:lang w:val="bs-Latn-BA"/>
        </w:rPr>
        <w:t xml:space="preserve">, a ako se tome treba pridodaju i druga turistička odredišta na području HNŽ/K može se zaključiti da se u HNŽ/K službeno registrira </w:t>
      </w:r>
      <w:r w:rsidRPr="006C69B9">
        <w:rPr>
          <w:rFonts w:ascii="Calibri" w:eastAsia="Calibri" w:hAnsi="Calibri" w:cs="Calibri"/>
          <w:b/>
          <w:lang w:val="bs-Latn-BA"/>
        </w:rPr>
        <w:t>samo 15-20%</w:t>
      </w:r>
      <w:r w:rsidRPr="006C69B9">
        <w:rPr>
          <w:rFonts w:ascii="Calibri" w:eastAsia="Calibri" w:hAnsi="Calibri" w:cs="Calibri"/>
          <w:lang w:val="bs-Latn-BA"/>
        </w:rPr>
        <w:t xml:space="preserve"> realno ostvarenog turističkog prometa.  </w:t>
      </w:r>
      <w:r w:rsidRPr="006C69B9">
        <w:rPr>
          <w:rFonts w:ascii="Calibri" w:eastAsia="Calibri" w:hAnsi="Calibri" w:cs="Calibri"/>
          <w:b/>
          <w:lang w:val="bs-Latn-BA"/>
        </w:rPr>
        <w:t>U tom kontekstu o HNŽ/K se može govoriti kao o turistički najaktivnijoj županiji/kantonu u FBiH ali i cijeloj Bosni i Hercegovini.</w:t>
      </w:r>
      <w:r w:rsidRPr="006C69B9">
        <w:rPr>
          <w:rFonts w:ascii="Calibri" w:eastAsia="Calibri" w:hAnsi="Calibri" w:cs="Calibri"/>
          <w:lang w:val="bs-Latn-BA"/>
        </w:rPr>
        <w:t xml:space="preserve">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Grafikon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Grafikon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2</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Udio HNŽ u ukupno ostvarenom turističkom prometu u FBiH u 2019. godini</w:t>
      </w:r>
    </w:p>
    <w:p w:rsidR="006C69B9" w:rsidRPr="006C69B9" w:rsidRDefault="006C69B9" w:rsidP="006C69B9">
      <w:pPr>
        <w:spacing w:after="0"/>
        <w:jc w:val="center"/>
        <w:rPr>
          <w:rFonts w:ascii="Calibri" w:eastAsia="Calibri" w:hAnsi="Calibri" w:cs="Calibri"/>
          <w:lang w:val="bs-Latn-BA"/>
        </w:rPr>
      </w:pPr>
      <w:r w:rsidRPr="006C69B9">
        <w:rPr>
          <w:rFonts w:ascii="Calibri" w:eastAsia="Calibri" w:hAnsi="Calibri" w:cs="Calibri"/>
          <w:noProof/>
          <w:lang w:eastAsia="hr-HR"/>
        </w:rPr>
        <w:drawing>
          <wp:inline distT="0" distB="0" distL="0" distR="0">
            <wp:extent cx="4246245" cy="1914525"/>
            <wp:effectExtent l="19050" t="0" r="2095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69B9" w:rsidRPr="006C69B9" w:rsidRDefault="006C69B9" w:rsidP="006C69B9">
      <w:pPr>
        <w:spacing w:line="276" w:lineRule="auto"/>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 (2020). Kantoni u brojkama. Sarajevo: Federalni zavod za statistiku.</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Promatrano prema zemljama porijekla (tabela 27), najveći udio turističkog prometa u 2019. godini je otpadao na domaće tržište, te su turisti iz BiH ostvarili </w:t>
      </w:r>
      <w:r w:rsidRPr="006C69B9">
        <w:rPr>
          <w:rFonts w:ascii="Calibri" w:eastAsia="Calibri" w:hAnsi="Calibri" w:cs="Calibri"/>
          <w:b/>
          <w:lang w:val="bs-Latn-BA"/>
        </w:rPr>
        <w:t>16% ukupnih dolazaka i noćenja</w:t>
      </w:r>
      <w:r w:rsidRPr="006C69B9">
        <w:rPr>
          <w:rFonts w:ascii="Calibri" w:eastAsia="Calibri" w:hAnsi="Calibri" w:cs="Calibri"/>
          <w:lang w:val="bs-Latn-BA"/>
        </w:rPr>
        <w:t>, nakon čega slijede Poljska (10% noćenja), Italija (9% noćenja), Južna Koreja (7% noćenja) te Njemačka i Hrvatska (6% noćenja) i Kina (5% noćenja).</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36</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Turistički promet u FBIH u 2019. po zemljama porijekla/emitivnim tržištima</w:t>
      </w:r>
    </w:p>
    <w:tbl>
      <w:tblPr>
        <w:tblStyle w:val="MediumGrid3-Accent51"/>
        <w:tblW w:w="9588" w:type="dxa"/>
        <w:tblLayout w:type="fixed"/>
        <w:tblLook w:val="06E0"/>
      </w:tblPr>
      <w:tblGrid>
        <w:gridCol w:w="2263"/>
        <w:gridCol w:w="1465"/>
        <w:gridCol w:w="1465"/>
        <w:gridCol w:w="1465"/>
        <w:gridCol w:w="1465"/>
        <w:gridCol w:w="1465"/>
      </w:tblGrid>
      <w:tr w:rsidR="00F85905" w:rsidRPr="006C69B9" w:rsidTr="006C69B9">
        <w:trPr>
          <w:cnfStyle w:val="100000000000"/>
          <w:trHeight w:val="600"/>
        </w:trPr>
        <w:tc>
          <w:tcPr>
            <w:cnfStyle w:val="001000000000"/>
            <w:tcW w:w="2263" w:type="dxa"/>
            <w:vAlign w:val="center"/>
          </w:tcPr>
          <w:p w:rsidR="006C69B9" w:rsidRPr="006C69B9" w:rsidRDefault="006C69B9" w:rsidP="006C69B9">
            <w:pPr>
              <w:jc w:val="center"/>
              <w:rPr>
                <w:rFonts w:ascii="Calibri" w:eastAsia="Calibri" w:hAnsi="Calibri" w:cs="Calibri"/>
                <w:sz w:val="20"/>
                <w:szCs w:val="20"/>
                <w:lang w:val="bs-Latn-BA"/>
              </w:rPr>
            </w:pPr>
            <w:r w:rsidRPr="006C69B9">
              <w:rPr>
                <w:rFonts w:ascii="Calibri" w:eastAsia="Calibri" w:hAnsi="Calibri" w:cs="Calibri"/>
                <w:sz w:val="20"/>
                <w:szCs w:val="20"/>
                <w:lang w:val="bs-Latn-BA"/>
              </w:rPr>
              <w:t>Zemlja porijekla</w:t>
            </w:r>
          </w:p>
        </w:tc>
        <w:tc>
          <w:tcPr>
            <w:tcW w:w="1465"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w:t>
            </w:r>
          </w:p>
        </w:tc>
        <w:tc>
          <w:tcPr>
            <w:tcW w:w="1465"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w:t>
            </w:r>
          </w:p>
        </w:tc>
        <w:tc>
          <w:tcPr>
            <w:tcW w:w="1465"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 (%)</w:t>
            </w:r>
          </w:p>
        </w:tc>
        <w:tc>
          <w:tcPr>
            <w:tcW w:w="1465"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 (%)</w:t>
            </w:r>
          </w:p>
        </w:tc>
        <w:tc>
          <w:tcPr>
            <w:tcW w:w="1465"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Prosječna dužina boravka</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Bosna i Hercegovina</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50.883</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96.946</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16,04</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15,96</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1,91</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Poljska</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22.732</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65.279</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7,16</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10,75</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2,87</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Italija</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19.861</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57.892</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6,26</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9,53</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2,91</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Južna Koreja</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35.123</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40.187</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11,07</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6,62</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1,14</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Njemačka</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17.094</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38.208</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5,39</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6,29</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2,24</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Hrvatska</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21.329</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33.678</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6,72</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5,54</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1,58</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Kina</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29.179</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31.178</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9,20</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5,13</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1,07</w:t>
            </w:r>
          </w:p>
        </w:tc>
      </w:tr>
      <w:tr w:rsidR="00F85905" w:rsidRPr="006C69B9" w:rsidTr="006C69B9">
        <w:trPr>
          <w:trHeight w:val="300"/>
        </w:trPr>
        <w:tc>
          <w:tcPr>
            <w:cnfStyle w:val="001000000000"/>
            <w:tcW w:w="2263" w:type="dxa"/>
          </w:tcPr>
          <w:p w:rsidR="006C69B9" w:rsidRPr="006C69B9" w:rsidRDefault="006C69B9" w:rsidP="006C69B9">
            <w:pPr>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Ostale zemlje</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121.110</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244.140</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38,17</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40,19</w:t>
            </w:r>
          </w:p>
        </w:tc>
        <w:tc>
          <w:tcPr>
            <w:tcW w:w="1465"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2,02</w:t>
            </w:r>
          </w:p>
        </w:tc>
      </w:tr>
      <w:tr w:rsidR="00F85905" w:rsidRPr="006C69B9" w:rsidTr="006C69B9">
        <w:trPr>
          <w:cnfStyle w:val="010000000000"/>
          <w:trHeight w:val="300"/>
        </w:trPr>
        <w:tc>
          <w:tcPr>
            <w:cnfStyle w:val="001000000000"/>
            <w:tcW w:w="2263"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Ukupno</w:t>
            </w:r>
          </w:p>
        </w:tc>
        <w:tc>
          <w:tcPr>
            <w:tcW w:w="1465"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317.311</w:t>
            </w:r>
          </w:p>
        </w:tc>
        <w:tc>
          <w:tcPr>
            <w:tcW w:w="1465"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607.508</w:t>
            </w:r>
          </w:p>
        </w:tc>
        <w:tc>
          <w:tcPr>
            <w:tcW w:w="1465"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w:t>
            </w:r>
          </w:p>
        </w:tc>
        <w:tc>
          <w:tcPr>
            <w:tcW w:w="1465"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w:t>
            </w:r>
          </w:p>
        </w:tc>
        <w:tc>
          <w:tcPr>
            <w:tcW w:w="1465"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1,91</w:t>
            </w:r>
          </w:p>
        </w:tc>
      </w:tr>
    </w:tbl>
    <w:p w:rsidR="006C69B9" w:rsidRPr="006C69B9" w:rsidRDefault="006C69B9" w:rsidP="006C69B9">
      <w:pPr>
        <w:spacing w:line="276" w:lineRule="auto"/>
        <w:jc w:val="both"/>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 (2020). Kantoni u brojkama. Sarajevo: Federalni zavod za statistiku.</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lastRenderedPageBreak/>
        <w:t>Relativno visok udio noćenja koji su ostvarili turisti s „novih tržišta“ -  Južne Koreje i Kine (što su zemlje koje ne spadaju u tradicionalna emitivna tržišta FBiH) moguće je objasniti tzv. kružnim turama turista iz tih zemalja koje su zadnjih godina bile sve učestalije, a pokrivaju više zemalja regije (Hrvatsku, BiH, Crnu Goru, Albaniju, Grčku i sl.). Ti turisti su često ostvarivali noćenja na području HNŽ/K radi izuzetno povoljnih cijena smještaja u odnosu na konkurentska odredišta u Hrvatskoj i Crnoj Gori. Međutim, s pojavom korona krize intenzitet zračnog prometa je značajno oslabio, a osobito je smanjen s dalekih, prekomorskih tržišta, pa je pitanje da li će se i u kojoj mjeri turistički promet s ovih tržišta ikada vratiti na predkriznu razinu.</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Prosječna dužina boravka turista na području HNŽ/K iznosi </w:t>
      </w:r>
      <w:r w:rsidRPr="006C69B9">
        <w:rPr>
          <w:rFonts w:ascii="Calibri" w:eastAsia="Calibri" w:hAnsi="Calibri" w:cs="Calibri"/>
          <w:b/>
          <w:lang w:val="bs-Latn-BA"/>
        </w:rPr>
        <w:t>1,9 dana</w:t>
      </w:r>
      <w:r w:rsidRPr="006C69B9">
        <w:rPr>
          <w:rFonts w:ascii="Calibri" w:eastAsia="Calibri" w:hAnsi="Calibri" w:cs="Calibri"/>
          <w:lang w:val="bs-Latn-BA"/>
        </w:rPr>
        <w:t xml:space="preserve"> što je znatno manje nego u susjednim županijama u Republici Hrvatskoj (4-5 dana) pri čemu u prosjeku najduže borave turisti iz Poljske i Italije (3 dama) a najkraće turisti iz Kine i Južne Koreje (1 dan). U odnosi na 2015. godinu prosječna dužina boravka </w:t>
      </w:r>
      <w:r w:rsidRPr="006C69B9">
        <w:rPr>
          <w:rFonts w:ascii="Calibri" w:eastAsia="Calibri" w:hAnsi="Calibri" w:cs="Calibri"/>
          <w:b/>
          <w:lang w:val="bs-Latn-BA"/>
        </w:rPr>
        <w:t>se smanjila sa 2,3 dana na 1,9 dana</w:t>
      </w:r>
      <w:r w:rsidRPr="006C69B9">
        <w:rPr>
          <w:rFonts w:ascii="Calibri" w:eastAsia="Calibri" w:hAnsi="Calibri" w:cs="Calibri"/>
          <w:lang w:val="bs-Latn-BA"/>
        </w:rPr>
        <w:t xml:space="preserve"> (vjerojatno zbog relativno velikog udjela Kine i Južne Koreje) što ukazuje na činjenicu da HNŽ/K još uvijek dominantno funkcionira kao izletnička/jednodnevna/tranzitna destinacija u kojoj se turisti, zbog nedostatka kvalitetnih sadržaja turističke ponude, zadržavaju relativno kratko. </w:t>
      </w:r>
      <w:r w:rsidRPr="006C69B9">
        <w:rPr>
          <w:rFonts w:ascii="Calibri" w:eastAsia="Calibri" w:hAnsi="Calibri" w:cs="Calibri"/>
          <w:b/>
          <w:lang w:val="bs-Latn-BA"/>
        </w:rPr>
        <w:t>Kratka prosječna dužina boravka turista prepoznata je kao jedno od glavnih razvojnih ograničenja</w:t>
      </w:r>
      <w:r w:rsidRPr="006C69B9">
        <w:rPr>
          <w:rFonts w:ascii="Calibri" w:eastAsia="Calibri" w:hAnsi="Calibri" w:cs="Calibri"/>
          <w:lang w:val="bs-Latn-BA"/>
        </w:rPr>
        <w:t xml:space="preserve"> i u Strategiji razvoja turizma Hercegovačko-neretvanskog kantona 2011.-2021. koje još uvijek nije na primjeren način riješeno.    </w:t>
      </w:r>
    </w:p>
    <w:p w:rsidR="006C69B9" w:rsidRPr="006C69B9" w:rsidRDefault="006C69B9" w:rsidP="006C69B9">
      <w:pPr>
        <w:spacing w:line="276" w:lineRule="auto"/>
        <w:rPr>
          <w:rFonts w:ascii="Calibri" w:eastAsia="Calibri" w:hAnsi="Calibri" w:cs="Calibri"/>
          <w:lang w:val="bs-Latn-BA"/>
        </w:rPr>
      </w:pPr>
      <w:r w:rsidRPr="006C69B9">
        <w:rPr>
          <w:rFonts w:ascii="Calibri" w:eastAsia="Calibri" w:hAnsi="Calibri" w:cs="Calibri"/>
          <w:lang w:val="bs-Latn-BA"/>
        </w:rPr>
        <w:t>Analiza službeno registriranog turističkog prometa u zadnjih 5 godina (2015. – 2019.) pokazuje da se broj dolazaka i noćenja na području HNŽ/K kontinuirano povećava (Grafikon 3).</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Grafikon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Grafikon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Noćenja i dolasci turista na području HNŽ/K 2015. – 2019.</w:t>
      </w:r>
    </w:p>
    <w:p w:rsidR="006C69B9" w:rsidRPr="006C69B9" w:rsidRDefault="006C69B9" w:rsidP="006C69B9">
      <w:pPr>
        <w:spacing w:after="0"/>
        <w:jc w:val="center"/>
        <w:rPr>
          <w:rFonts w:ascii="Calibri" w:eastAsia="Calibri" w:hAnsi="Calibri" w:cs="Calibri"/>
          <w:lang w:val="bs-Latn-BA"/>
        </w:rPr>
      </w:pPr>
      <w:r w:rsidRPr="006C69B9">
        <w:rPr>
          <w:rFonts w:ascii="Calibri" w:eastAsia="Calibri" w:hAnsi="Calibri" w:cs="Calibri"/>
          <w:noProof/>
          <w:lang w:eastAsia="hr-HR"/>
        </w:rPr>
        <w:drawing>
          <wp:inline distT="0" distB="0" distL="0" distR="0">
            <wp:extent cx="4474845" cy="2219325"/>
            <wp:effectExtent l="19050" t="0" r="2095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C69B9" w:rsidRPr="006C69B9" w:rsidRDefault="006C69B9" w:rsidP="006C69B9">
      <w:pPr>
        <w:spacing w:line="276" w:lineRule="auto"/>
        <w:jc w:val="both"/>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 (2020). Kantoni u brojkama. Sarajevo: Federalni zavod za statistiku.</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U razdoblju 2015. – 2019. dolasci turista porasli su za oko 50% dok su noćenja turista porasla za oko 30%. Ovdje je također vidljiv trend bržeg rasta dolazaka (oko 10% godišnje) od noćenja (oko 6% godišnje), što je posljedica skraćenja prosječne dužine boravka turista na području HNŽ/K u razdoblju 2015. – 2019. sa 2,3 na 1,9 dana, odnosno pojave novih tržišta (Kina i Južna Koreja) koji znatno kraće borave u destinaciji. U odnosu na prethodno petogodišnje razdoblje (2010. – 2014.) </w:t>
      </w:r>
      <w:r w:rsidRPr="006C69B9">
        <w:rPr>
          <w:rFonts w:ascii="Calibri" w:eastAsia="Calibri" w:hAnsi="Calibri" w:cs="Calibri"/>
          <w:b/>
          <w:lang w:val="bs-Latn-BA"/>
        </w:rPr>
        <w:t>rast dolazaka i noćenja u HNŽ/K je znatno sporiji</w:t>
      </w:r>
      <w:r w:rsidRPr="006C69B9">
        <w:rPr>
          <w:rFonts w:ascii="Calibri" w:eastAsia="Calibri" w:hAnsi="Calibri" w:cs="Calibri"/>
          <w:lang w:val="bs-Latn-BA"/>
        </w:rPr>
        <w:t>.</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Analiza vremenske distribucije noćenja u HNŽ/K u 2019. godini (Tabela 37.) pokazuje da turizam u HNŽ/K odlikuje </w:t>
      </w:r>
      <w:r w:rsidRPr="006C69B9">
        <w:rPr>
          <w:rFonts w:ascii="Calibri" w:eastAsia="Calibri" w:hAnsi="Calibri" w:cs="Calibri"/>
          <w:b/>
          <w:lang w:val="bs-Latn-BA"/>
        </w:rPr>
        <w:t>relativno visoka sezonalnost turističke potražnje</w:t>
      </w:r>
      <w:r w:rsidRPr="006C69B9">
        <w:rPr>
          <w:rFonts w:ascii="Calibri" w:eastAsia="Calibri" w:hAnsi="Calibri" w:cs="Calibri"/>
          <w:lang w:val="bs-Latn-BA"/>
        </w:rPr>
        <w:t xml:space="preserve">. Turistička potražnja neravnomjerno je raspoređena kroz godinu, jer se oko 70% noćenja ostvaruje se u ljetnom razdoblju (svibanj – rujan).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lastRenderedPageBreak/>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37</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noProof/>
          <w:color w:val="31849B"/>
          <w:sz w:val="20"/>
        </w:rPr>
        <w:t>.</w:t>
      </w:r>
      <w:r w:rsidRPr="006C69B9">
        <w:rPr>
          <w:rFonts w:ascii="Calibri" w:eastAsia="Calibri" w:hAnsi="Calibri" w:cs="Calibri Light"/>
          <w:bCs/>
          <w:i/>
          <w:color w:val="31849B"/>
          <w:sz w:val="20"/>
        </w:rPr>
        <w:t xml:space="preserve"> Noćenja po mjesecima u HNŽ/K, 2019. Godina</w:t>
      </w:r>
    </w:p>
    <w:tbl>
      <w:tblPr>
        <w:tblStyle w:val="MediumGrid3-Accent51"/>
        <w:tblW w:w="0" w:type="auto"/>
        <w:tblLook w:val="06E0"/>
      </w:tblPr>
      <w:tblGrid>
        <w:gridCol w:w="1851"/>
        <w:gridCol w:w="1856"/>
        <w:gridCol w:w="1851"/>
        <w:gridCol w:w="1857"/>
        <w:gridCol w:w="1851"/>
      </w:tblGrid>
      <w:tr w:rsidR="00F85905" w:rsidRPr="006C69B9" w:rsidTr="006C69B9">
        <w:trPr>
          <w:cnfStyle w:val="100000000000"/>
        </w:trPr>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Mjesec</w:t>
            </w:r>
          </w:p>
        </w:tc>
        <w:tc>
          <w:tcPr>
            <w:tcW w:w="1924" w:type="dxa"/>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w:t>
            </w:r>
          </w:p>
        </w:tc>
        <w:tc>
          <w:tcPr>
            <w:tcW w:w="1924" w:type="dxa"/>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w:t>
            </w:r>
          </w:p>
        </w:tc>
        <w:tc>
          <w:tcPr>
            <w:tcW w:w="1925" w:type="dxa"/>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 (%)</w:t>
            </w:r>
          </w:p>
        </w:tc>
        <w:tc>
          <w:tcPr>
            <w:tcW w:w="1925" w:type="dxa"/>
          </w:tcPr>
          <w:p w:rsidR="006C69B9" w:rsidRPr="006C69B9" w:rsidRDefault="006C69B9" w:rsidP="006C69B9">
            <w:pPr>
              <w:contextualSpacing/>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 (%)</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4.506</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8.133</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1,42</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1,34</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II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7.262</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11.603</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2,29</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1,91</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III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11.864</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17.378</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3,74</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2,86</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IV</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30.391</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50.325</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9,58</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8,28</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V</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40.256</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71.198</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12,69</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11,72</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VI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39.777</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78.965</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12,54</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13,00</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VII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39.097</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86.690</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12,32</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14,27</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VIII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44.923</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103.748</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14,16</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17,08</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IX</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42.132</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82.426</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13,28</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13,57</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X</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38.401</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67.870</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12,10</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11,17</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XI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11.028</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17.522</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3,48</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2,88</w:t>
            </w:r>
          </w:p>
        </w:tc>
      </w:tr>
      <w:tr w:rsidR="00F85905" w:rsidRPr="006C69B9" w:rsidTr="006C69B9">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XII</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7.674</w:t>
            </w:r>
          </w:p>
        </w:tc>
        <w:tc>
          <w:tcPr>
            <w:tcW w:w="1924"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11.650</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2,42</w:t>
            </w:r>
          </w:p>
        </w:tc>
        <w:tc>
          <w:tcPr>
            <w:tcW w:w="1925" w:type="dxa"/>
          </w:tcPr>
          <w:p w:rsidR="006C69B9" w:rsidRPr="006C69B9" w:rsidRDefault="006C69B9" w:rsidP="006C69B9">
            <w:pPr>
              <w:contextualSpacing/>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1,92</w:t>
            </w:r>
          </w:p>
        </w:tc>
      </w:tr>
      <w:tr w:rsidR="00F85905" w:rsidRPr="006C69B9" w:rsidTr="006C69B9">
        <w:trPr>
          <w:cnfStyle w:val="010000000000"/>
        </w:trPr>
        <w:tc>
          <w:tcPr>
            <w:cnfStyle w:val="001000000000"/>
            <w:tcW w:w="1924" w:type="dxa"/>
          </w:tcPr>
          <w:p w:rsidR="006C69B9" w:rsidRPr="006C69B9" w:rsidRDefault="006C69B9" w:rsidP="006C69B9">
            <w:pPr>
              <w:contextualSpacing/>
              <w:jc w:val="center"/>
              <w:rPr>
                <w:rFonts w:ascii="Calibri" w:eastAsia="Calibri" w:hAnsi="Calibri" w:cs="Calibri"/>
                <w:sz w:val="20"/>
                <w:szCs w:val="20"/>
                <w:lang w:val="bs-Latn-BA"/>
              </w:rPr>
            </w:pPr>
            <w:r w:rsidRPr="006C69B9">
              <w:rPr>
                <w:rFonts w:ascii="Calibri" w:eastAsia="Calibri" w:hAnsi="Calibri" w:cs="Calibri"/>
                <w:sz w:val="20"/>
                <w:szCs w:val="20"/>
                <w:lang w:val="bs-Latn-BA"/>
              </w:rPr>
              <w:t>Ukupno</w:t>
            </w:r>
          </w:p>
        </w:tc>
        <w:tc>
          <w:tcPr>
            <w:tcW w:w="1924" w:type="dxa"/>
          </w:tcPr>
          <w:p w:rsidR="006C69B9" w:rsidRPr="006C69B9" w:rsidRDefault="006C69B9" w:rsidP="006C69B9">
            <w:pPr>
              <w:contextualSpacing/>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317.311</w:t>
            </w:r>
          </w:p>
        </w:tc>
        <w:tc>
          <w:tcPr>
            <w:tcW w:w="1924" w:type="dxa"/>
          </w:tcPr>
          <w:p w:rsidR="006C69B9" w:rsidRPr="006C69B9" w:rsidRDefault="006C69B9" w:rsidP="006C69B9">
            <w:pPr>
              <w:contextualSpacing/>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607.508</w:t>
            </w:r>
          </w:p>
        </w:tc>
        <w:tc>
          <w:tcPr>
            <w:tcW w:w="1925" w:type="dxa"/>
          </w:tcPr>
          <w:p w:rsidR="006C69B9" w:rsidRPr="006C69B9" w:rsidRDefault="006C69B9" w:rsidP="006C69B9">
            <w:pPr>
              <w:contextualSpacing/>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100,00</w:t>
            </w:r>
          </w:p>
        </w:tc>
        <w:tc>
          <w:tcPr>
            <w:tcW w:w="1925" w:type="dxa"/>
          </w:tcPr>
          <w:p w:rsidR="006C69B9" w:rsidRPr="006C69B9" w:rsidRDefault="006C69B9" w:rsidP="006C69B9">
            <w:pPr>
              <w:contextualSpacing/>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100,00</w:t>
            </w:r>
          </w:p>
        </w:tc>
      </w:tr>
    </w:tbl>
    <w:p w:rsidR="006C69B9" w:rsidRPr="006C69B9" w:rsidRDefault="006C69B9" w:rsidP="006C69B9">
      <w:pPr>
        <w:spacing w:after="0" w:line="240" w:lineRule="auto"/>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 (2020). Kantoni u brojkama.  Sarajevo: Federalni zavod za statistiku.</w:t>
      </w:r>
      <w:r w:rsidRPr="006C69B9">
        <w:rPr>
          <w:rFonts w:ascii="Calibri" w:eastAsia="Calibri" w:hAnsi="Calibri" w:cs="Calibri"/>
          <w:b/>
          <w:noProof/>
          <w:lang w:eastAsia="hr-HR"/>
        </w:rPr>
        <w:drawing>
          <wp:anchor distT="0" distB="0" distL="114300" distR="114300" simplePos="0" relativeHeight="251659264" behindDoc="0" locked="0" layoutInCell="1" allowOverlap="1">
            <wp:simplePos x="0" y="0"/>
            <wp:positionH relativeFrom="column">
              <wp:posOffset>5092700</wp:posOffset>
            </wp:positionH>
            <wp:positionV relativeFrom="paragraph">
              <wp:posOffset>1727200</wp:posOffset>
            </wp:positionV>
            <wp:extent cx="1324610" cy="535940"/>
            <wp:effectExtent l="0" t="0" r="0" b="0"/>
            <wp:wrapSquare wrapText="bothSides" distT="0" distB="0" distL="114300" distR="11430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324610" cy="535940"/>
                    </a:xfrm>
                    <a:prstGeom prst="rect">
                      <a:avLst/>
                    </a:prstGeom>
                    <a:ln/>
                  </pic:spPr>
                </pic:pic>
              </a:graphicData>
            </a:graphic>
          </wp:anchor>
        </w:drawing>
      </w:r>
    </w:p>
    <w:p w:rsidR="006C69B9" w:rsidRPr="006C69B9" w:rsidRDefault="006C69B9" w:rsidP="006C69B9">
      <w:pPr>
        <w:spacing w:line="276" w:lineRule="auto"/>
        <w:jc w:val="both"/>
        <w:rPr>
          <w:rFonts w:ascii="Calibri" w:eastAsia="Calibri" w:hAnsi="Calibri" w:cs="Calibri"/>
          <w:lang w:val="bs-Latn-BA"/>
        </w:rPr>
      </w:pP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Promatrano prema vrstama smještajnih kapaciteta, većina turističkog prometa na području HNŽ/K u 2019. godini ostvarena je u hotelskim smještajnim objektima (Tabela 38).</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38</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Noćenja u HNŽ/K u 2019, prema vrstama smještaja</w:t>
      </w:r>
    </w:p>
    <w:tbl>
      <w:tblPr>
        <w:tblStyle w:val="MediumGrid3-Accent51"/>
        <w:tblpPr w:leftFromText="180" w:rightFromText="180" w:vertAnchor="text" w:horzAnchor="margin" w:tblpXSpec="center" w:tblpY="139"/>
        <w:tblW w:w="8926" w:type="dxa"/>
        <w:tblLayout w:type="fixed"/>
        <w:tblLook w:val="06E0"/>
      </w:tblPr>
      <w:tblGrid>
        <w:gridCol w:w="2122"/>
        <w:gridCol w:w="1630"/>
        <w:gridCol w:w="1630"/>
        <w:gridCol w:w="1701"/>
        <w:gridCol w:w="1843"/>
      </w:tblGrid>
      <w:tr w:rsidR="00F85905" w:rsidRPr="006C69B9" w:rsidTr="006C69B9">
        <w:trPr>
          <w:cnfStyle w:val="100000000000"/>
          <w:trHeight w:val="365"/>
        </w:trPr>
        <w:tc>
          <w:tcPr>
            <w:cnfStyle w:val="001000000000"/>
            <w:tcW w:w="2122"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Vrsta SO</w:t>
            </w:r>
          </w:p>
        </w:tc>
        <w:tc>
          <w:tcPr>
            <w:tcW w:w="1630"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w:t>
            </w:r>
          </w:p>
        </w:tc>
        <w:tc>
          <w:tcPr>
            <w:tcW w:w="1630"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w:t>
            </w:r>
          </w:p>
        </w:tc>
        <w:tc>
          <w:tcPr>
            <w:tcW w:w="1701"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 (%)</w:t>
            </w:r>
          </w:p>
        </w:tc>
        <w:tc>
          <w:tcPr>
            <w:tcW w:w="1843"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 (%)</w:t>
            </w:r>
          </w:p>
        </w:tc>
      </w:tr>
      <w:tr w:rsidR="00F85905" w:rsidRPr="006C69B9" w:rsidTr="006C69B9">
        <w:trPr>
          <w:trHeight w:val="300"/>
        </w:trPr>
        <w:tc>
          <w:tcPr>
            <w:cnfStyle w:val="001000000000"/>
            <w:tcW w:w="2122"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Hoteli i sl.</w:t>
            </w:r>
          </w:p>
        </w:tc>
        <w:tc>
          <w:tcPr>
            <w:tcW w:w="163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301.993</w:t>
            </w:r>
          </w:p>
        </w:tc>
        <w:tc>
          <w:tcPr>
            <w:tcW w:w="163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576.734</w:t>
            </w:r>
          </w:p>
        </w:tc>
        <w:tc>
          <w:tcPr>
            <w:tcW w:w="1701"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95,2</w:t>
            </w:r>
          </w:p>
        </w:tc>
        <w:tc>
          <w:tcPr>
            <w:tcW w:w="1843"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94,9</w:t>
            </w:r>
          </w:p>
        </w:tc>
      </w:tr>
      <w:tr w:rsidR="00F85905" w:rsidRPr="006C69B9" w:rsidTr="006C69B9">
        <w:trPr>
          <w:trHeight w:val="300"/>
        </w:trPr>
        <w:tc>
          <w:tcPr>
            <w:cnfStyle w:val="001000000000"/>
            <w:tcW w:w="2122"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Kampovi</w:t>
            </w:r>
          </w:p>
        </w:tc>
        <w:tc>
          <w:tcPr>
            <w:tcW w:w="163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146</w:t>
            </w:r>
          </w:p>
        </w:tc>
        <w:tc>
          <w:tcPr>
            <w:tcW w:w="163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215</w:t>
            </w:r>
          </w:p>
        </w:tc>
        <w:tc>
          <w:tcPr>
            <w:tcW w:w="1701"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0,0</w:t>
            </w:r>
          </w:p>
        </w:tc>
        <w:tc>
          <w:tcPr>
            <w:tcW w:w="1843"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0,0</w:t>
            </w:r>
          </w:p>
        </w:tc>
      </w:tr>
      <w:tr w:rsidR="00F85905" w:rsidRPr="006C69B9" w:rsidTr="006C69B9">
        <w:trPr>
          <w:trHeight w:val="300"/>
        </w:trPr>
        <w:tc>
          <w:tcPr>
            <w:cnfStyle w:val="001000000000"/>
            <w:tcW w:w="2122"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Odmarališta i sl.</w:t>
            </w:r>
          </w:p>
        </w:tc>
        <w:tc>
          <w:tcPr>
            <w:tcW w:w="163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15.172</w:t>
            </w:r>
          </w:p>
        </w:tc>
        <w:tc>
          <w:tcPr>
            <w:tcW w:w="163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30.559</w:t>
            </w:r>
          </w:p>
        </w:tc>
        <w:tc>
          <w:tcPr>
            <w:tcW w:w="1701"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4,8</w:t>
            </w:r>
          </w:p>
        </w:tc>
        <w:tc>
          <w:tcPr>
            <w:tcW w:w="1843"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5,0</w:t>
            </w:r>
          </w:p>
        </w:tc>
      </w:tr>
      <w:tr w:rsidR="00F85905" w:rsidRPr="006C69B9" w:rsidTr="006C69B9">
        <w:trPr>
          <w:cnfStyle w:val="010000000000"/>
          <w:trHeight w:val="300"/>
        </w:trPr>
        <w:tc>
          <w:tcPr>
            <w:cnfStyle w:val="001000000000"/>
            <w:tcW w:w="2122"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Ukupno</w:t>
            </w:r>
          </w:p>
        </w:tc>
        <w:tc>
          <w:tcPr>
            <w:tcW w:w="1630" w:type="dxa"/>
            <w:vAlign w:val="center"/>
          </w:tcPr>
          <w:p w:rsidR="006C69B9" w:rsidRPr="006C69B9" w:rsidRDefault="006C69B9" w:rsidP="006C69B9">
            <w:pPr>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317.311</w:t>
            </w:r>
          </w:p>
        </w:tc>
        <w:tc>
          <w:tcPr>
            <w:tcW w:w="1630" w:type="dxa"/>
            <w:vAlign w:val="center"/>
          </w:tcPr>
          <w:p w:rsidR="006C69B9" w:rsidRPr="006C69B9" w:rsidRDefault="006C69B9" w:rsidP="006C69B9">
            <w:pPr>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607.508</w:t>
            </w:r>
          </w:p>
        </w:tc>
        <w:tc>
          <w:tcPr>
            <w:tcW w:w="1701" w:type="dxa"/>
            <w:vAlign w:val="center"/>
          </w:tcPr>
          <w:p w:rsidR="006C69B9" w:rsidRPr="006C69B9" w:rsidRDefault="006C69B9" w:rsidP="006C69B9">
            <w:pPr>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w:t>
            </w:r>
          </w:p>
        </w:tc>
        <w:tc>
          <w:tcPr>
            <w:tcW w:w="1843" w:type="dxa"/>
            <w:vAlign w:val="center"/>
          </w:tcPr>
          <w:p w:rsidR="006C69B9" w:rsidRPr="006C69B9" w:rsidRDefault="006C69B9" w:rsidP="006C69B9">
            <w:pPr>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w:t>
            </w:r>
          </w:p>
        </w:tc>
      </w:tr>
    </w:tbl>
    <w:p w:rsidR="006C69B9" w:rsidRPr="006C69B9" w:rsidRDefault="006C69B9" w:rsidP="006C69B9">
      <w:pPr>
        <w:spacing w:after="0" w:line="240" w:lineRule="auto"/>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 (2020). Kantoni u brojkama.  Sarajevo: Federalni zavod za statistiku</w:t>
      </w:r>
    </w:p>
    <w:p w:rsidR="006C69B9" w:rsidRPr="006C69B9" w:rsidRDefault="006C69B9" w:rsidP="006C69B9">
      <w:pPr>
        <w:spacing w:after="0" w:line="240" w:lineRule="auto"/>
        <w:jc w:val="both"/>
        <w:rPr>
          <w:rFonts w:ascii="Calibri" w:eastAsia="Calibri" w:hAnsi="Calibri" w:cs="Calibri"/>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 xml:space="preserve">Podaci iz Tabele 38 prikazuju nerealno visoku sliku turističkog prometa u HNŽ/K koji se ostvaruje </w:t>
      </w:r>
      <w:r w:rsidRPr="006C69B9">
        <w:rPr>
          <w:rFonts w:ascii="Calibri" w:eastAsia="Calibri" w:hAnsi="Calibri" w:cs="Calibri"/>
          <w:b/>
          <w:lang w:val="bs-Latn-BA"/>
        </w:rPr>
        <w:t>u hotelskom smještaju (94%)</w:t>
      </w:r>
      <w:r w:rsidRPr="006C69B9">
        <w:rPr>
          <w:rFonts w:ascii="Calibri" w:eastAsia="Calibri" w:hAnsi="Calibri" w:cs="Calibri"/>
          <w:lang w:val="bs-Latn-BA"/>
        </w:rPr>
        <w:t xml:space="preserve">, što je najvjerojatnije posljedica činjenice da smještajni objekti koji su kategorizirani kao hoteli prijavljuju većinu teističkog prometa, dok je većina turističkog prometa koji se ostvaruje u privatnom smještaju i drugim vrstama smještajnih objekata neprijavljena. </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Analiza prostorne distribucije turističke potražnje u HNŽ/K (Tabela 39) pokazuje da se većina turističkog prometa ostvaruje u manjem broju jedinica lokalne samouprave, odnosno u Neumu (48% noćenja), Čitluku/Međugorju (23% noćenja) i Mostaru (23% noćenja).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39</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Noćenja u HNŽ/K u 2019, prema općinama </w:t>
      </w:r>
    </w:p>
    <w:tbl>
      <w:tblPr>
        <w:tblStyle w:val="MediumGrid3-Accent51"/>
        <w:tblW w:w="8150" w:type="dxa"/>
        <w:jc w:val="center"/>
        <w:tblLayout w:type="fixed"/>
        <w:tblLook w:val="06E0"/>
      </w:tblPr>
      <w:tblGrid>
        <w:gridCol w:w="1510"/>
        <w:gridCol w:w="1328"/>
        <w:gridCol w:w="1328"/>
        <w:gridCol w:w="1328"/>
        <w:gridCol w:w="1328"/>
        <w:gridCol w:w="1328"/>
      </w:tblGrid>
      <w:tr w:rsidR="00F85905" w:rsidRPr="006C69B9" w:rsidTr="006C69B9">
        <w:trPr>
          <w:cnfStyle w:val="100000000000"/>
          <w:trHeight w:val="600"/>
          <w:jc w:val="center"/>
        </w:trPr>
        <w:tc>
          <w:tcPr>
            <w:cnfStyle w:val="001000000000"/>
            <w:tcW w:w="1510" w:type="dxa"/>
            <w:vAlign w:val="center"/>
          </w:tcPr>
          <w:p w:rsidR="006C69B9" w:rsidRPr="006C69B9" w:rsidRDefault="006C69B9" w:rsidP="006C69B9">
            <w:pPr>
              <w:jc w:val="center"/>
              <w:rPr>
                <w:rFonts w:ascii="Calibri" w:eastAsia="Calibri" w:hAnsi="Calibri" w:cs="Calibri"/>
                <w:sz w:val="20"/>
                <w:szCs w:val="20"/>
                <w:lang w:val="bs-Latn-BA"/>
              </w:rPr>
            </w:pPr>
            <w:r w:rsidRPr="006C69B9">
              <w:rPr>
                <w:rFonts w:ascii="Calibri" w:eastAsia="Calibri" w:hAnsi="Calibri" w:cs="Calibri"/>
                <w:sz w:val="20"/>
                <w:szCs w:val="20"/>
                <w:lang w:val="bs-Latn-BA"/>
              </w:rPr>
              <w:t>Grad/općina</w:t>
            </w:r>
          </w:p>
        </w:tc>
        <w:tc>
          <w:tcPr>
            <w:tcW w:w="1328"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w:t>
            </w:r>
          </w:p>
        </w:tc>
        <w:tc>
          <w:tcPr>
            <w:tcW w:w="1328"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w:t>
            </w:r>
          </w:p>
        </w:tc>
        <w:tc>
          <w:tcPr>
            <w:tcW w:w="1328"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dolazaka (%)</w:t>
            </w:r>
          </w:p>
        </w:tc>
        <w:tc>
          <w:tcPr>
            <w:tcW w:w="1328"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noćenja (%)</w:t>
            </w:r>
          </w:p>
        </w:tc>
        <w:tc>
          <w:tcPr>
            <w:tcW w:w="1328"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Prosječna dužina boravka</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Neum</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132.760</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292.773</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41,84</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48,19</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2,2</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Čitluk</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64.024</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155.908</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20,18</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25,66</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2,4</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Mostar</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108.915</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140.408</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34,32</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23,11</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Konjic</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6603</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10535</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2,08</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1,73</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1,6</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Jablanica</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3.381</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5.631</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1,07</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0,93</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Čapljina</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1.078</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1.643</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0,34</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0,27</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1,5</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Ravno</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393</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420</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0,12</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0,07</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Prozor</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157</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190</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0,05</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0,03</w:t>
            </w:r>
          </w:p>
        </w:tc>
        <w:tc>
          <w:tcPr>
            <w:tcW w:w="1328" w:type="dxa"/>
            <w:vAlign w:val="center"/>
          </w:tcPr>
          <w:p w:rsidR="006C69B9" w:rsidRPr="006C69B9" w:rsidRDefault="006C69B9" w:rsidP="006C69B9">
            <w:pPr>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w:t>
            </w:r>
          </w:p>
        </w:tc>
      </w:tr>
      <w:tr w:rsidR="00F85905" w:rsidRPr="006C69B9" w:rsidTr="006C69B9">
        <w:trPr>
          <w:cnfStyle w:val="010000000000"/>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lastRenderedPageBreak/>
              <w:t>Ukupno</w:t>
            </w:r>
          </w:p>
        </w:tc>
        <w:tc>
          <w:tcPr>
            <w:tcW w:w="1328"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317.311</w:t>
            </w:r>
          </w:p>
        </w:tc>
        <w:tc>
          <w:tcPr>
            <w:tcW w:w="1328"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607.508</w:t>
            </w:r>
          </w:p>
        </w:tc>
        <w:tc>
          <w:tcPr>
            <w:tcW w:w="1328"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100,00</w:t>
            </w:r>
          </w:p>
        </w:tc>
        <w:tc>
          <w:tcPr>
            <w:tcW w:w="1328"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100,00</w:t>
            </w:r>
          </w:p>
        </w:tc>
        <w:tc>
          <w:tcPr>
            <w:tcW w:w="1328"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1,9</w:t>
            </w:r>
          </w:p>
        </w:tc>
      </w:tr>
    </w:tbl>
    <w:p w:rsidR="006C69B9" w:rsidRPr="006C69B9" w:rsidRDefault="006C69B9" w:rsidP="006C69B9">
      <w:pPr>
        <w:spacing w:line="276" w:lineRule="auto"/>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Iz ovoga je vidljivo da turizam u HNŽ/K karakterizira </w:t>
      </w:r>
      <w:r w:rsidRPr="006C69B9">
        <w:rPr>
          <w:rFonts w:ascii="Calibri" w:eastAsia="Calibri" w:hAnsi="Calibri" w:cs="Calibri"/>
          <w:b/>
          <w:lang w:val="bs-Latn-BA"/>
        </w:rPr>
        <w:t>visoka prostorna koncentracija noćenja</w:t>
      </w:r>
      <w:r w:rsidRPr="006C69B9">
        <w:rPr>
          <w:rFonts w:ascii="Calibri" w:eastAsia="Calibri" w:hAnsi="Calibri" w:cs="Calibri"/>
          <w:lang w:val="bs-Latn-BA"/>
        </w:rPr>
        <w:t xml:space="preserve"> - u samo tri općine ostvaruje se  94% noćenja, dok ostalih pet općina na području HNŽ/K sudjeluje sa samo 6% u ukupnom turističkom prometu. Prema podacima FZS-a, u 2019. godini na području općine Stolac nisu zabilježena turistička noćenja. Turisti najduže u prosjeku borave u Čitluku 2,4 dana i u Neumu 2,2 dana dok u svim drugim destinacijama na području HNŽ/K u prosjeku borave kraće od 2 dana (slika 4).</w:t>
      </w:r>
    </w:p>
    <w:p w:rsidR="006C69B9" w:rsidRPr="006C69B9" w:rsidRDefault="006C69B9" w:rsidP="006C69B9">
      <w:pPr>
        <w:spacing w:after="0" w:line="276" w:lineRule="auto"/>
        <w:jc w:val="center"/>
        <w:rPr>
          <w:rFonts w:ascii="Calibri" w:eastAsia="Calibri" w:hAnsi="Calibri" w:cs="Calibri"/>
          <w:b/>
          <w:sz w:val="20"/>
          <w:szCs w:val="20"/>
          <w:lang w:val="bs-Latn-BA"/>
        </w:rPr>
      </w:pPr>
      <w:r w:rsidRPr="006C69B9">
        <w:rPr>
          <w:rFonts w:ascii="Calibri" w:eastAsia="Calibri" w:hAnsi="Calibri" w:cs="Calibri"/>
          <w:b/>
          <w:sz w:val="20"/>
          <w:szCs w:val="20"/>
          <w:lang w:val="bs-Latn-BA"/>
        </w:rPr>
        <w:t>Slika 4. Prosječna dužina boravka u HNŽ/K u 2019. godini</w:t>
      </w:r>
    </w:p>
    <w:p w:rsidR="006C69B9" w:rsidRPr="006C69B9" w:rsidRDefault="006C69B9" w:rsidP="006C69B9">
      <w:pPr>
        <w:spacing w:after="0" w:line="276" w:lineRule="auto"/>
        <w:jc w:val="center"/>
        <w:rPr>
          <w:rFonts w:ascii="Calibri" w:eastAsia="Calibri" w:hAnsi="Calibri" w:cs="Calibri"/>
          <w:lang w:val="bs-Latn-BA"/>
        </w:rPr>
      </w:pPr>
      <w:r w:rsidRPr="006C69B9">
        <w:rPr>
          <w:rFonts w:ascii="Calibri" w:eastAsia="Calibri" w:hAnsi="Calibri" w:cs="Calibri"/>
          <w:noProof/>
          <w:lang w:eastAsia="hr-HR"/>
        </w:rPr>
        <w:drawing>
          <wp:inline distT="0" distB="0" distL="0" distR="0">
            <wp:extent cx="3883099" cy="2083982"/>
            <wp:effectExtent l="19050" t="0" r="22151"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69B9" w:rsidRPr="006C69B9" w:rsidRDefault="006C69B9" w:rsidP="006C69B9">
      <w:pPr>
        <w:spacing w:line="276" w:lineRule="auto"/>
        <w:jc w:val="both"/>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w:t>
      </w:r>
    </w:p>
    <w:p w:rsidR="006C69B9" w:rsidRPr="006C69B9" w:rsidRDefault="006C69B9" w:rsidP="006C69B9">
      <w:pPr>
        <w:spacing w:line="276" w:lineRule="auto"/>
        <w:jc w:val="both"/>
        <w:rPr>
          <w:rFonts w:ascii="Calibri" w:eastAsia="Calibri" w:hAnsi="Calibri" w:cs="Calibri"/>
          <w:lang w:val="bs-Latn-BA"/>
        </w:rPr>
      </w:pPr>
      <w:bookmarkStart w:id="23" w:name="_heading=h.35nkun2" w:colFirst="0" w:colLast="0"/>
      <w:bookmarkEnd w:id="23"/>
      <w:r w:rsidRPr="006C69B9">
        <w:rPr>
          <w:rFonts w:ascii="Calibri" w:eastAsia="Calibri" w:hAnsi="Calibri" w:cs="Calibri"/>
          <w:lang w:val="bs-Latn-BA"/>
        </w:rPr>
        <w:t xml:space="preserve">Zaključno treba naglasiti da se sve prethodne analize i ocjene temelje na službenim podacima FZS-a. Međutim, kako je sustav turističke statistike u FBiH relativno nerazvijen i značajan dio turističke potražnje uopće nije službeno registriran, može se zaključiti da je realna turistička potražnja značajno veća u odnosu na službeno registriranu. TZ HNŽ/K procjenjuje da je službenim statističkim podacima obuhvaćeno tek oko 15-20% od ukupno ostvarenog broja dolazaka i noćenja turista na području HNŽ/K, dok se </w:t>
      </w:r>
      <w:r w:rsidRPr="006C69B9">
        <w:rPr>
          <w:rFonts w:ascii="Calibri" w:eastAsia="Calibri" w:hAnsi="Calibri" w:cs="Calibri"/>
          <w:b/>
          <w:lang w:val="bs-Latn-BA"/>
        </w:rPr>
        <w:t>jednodnevni turistički posjeti uopće ne evidentiraju niti postoje službene procjene njihovog broja</w:t>
      </w:r>
      <w:r w:rsidRPr="006C69B9">
        <w:rPr>
          <w:rFonts w:ascii="Calibri" w:eastAsia="Calibri" w:hAnsi="Calibri" w:cs="Calibri"/>
          <w:lang w:val="bs-Latn-BA"/>
        </w:rPr>
        <w:t>. Ukoliko se ova procjena uzme kao vjerodostojna, može se zaključiti da se na području HNŽ/K godišnje ostvari između 3,5 - 4 milijuna turističkih noćenja. Na kraju je potrebno naglasiti da bi kvalitetnija analitička podloga omogućila i kvalitetniju procjenu trenutne turističke potražnje na području HNŽ/K ali i kvalitetnije upravljanje turističkim razvojem HNŽ/K.</w:t>
      </w:r>
    </w:p>
    <w:p w:rsidR="006C69B9" w:rsidRPr="006C69B9" w:rsidRDefault="006C69B9" w:rsidP="006C69B9">
      <w:pPr>
        <w:keepNext/>
        <w:keepLines/>
        <w:spacing w:before="200" w:after="0" w:line="240" w:lineRule="auto"/>
        <w:ind w:left="864" w:hanging="864"/>
        <w:outlineLvl w:val="3"/>
        <w:rPr>
          <w:rFonts w:ascii="Calibri" w:eastAsia="Calibri" w:hAnsi="Calibri" w:cs="Times New Roman"/>
          <w:bCs/>
          <w:i/>
          <w:iCs/>
          <w:color w:val="31849B"/>
          <w:szCs w:val="24"/>
          <w:lang w:eastAsia="hr-HR"/>
        </w:rPr>
      </w:pPr>
      <w:r w:rsidRPr="006C69B9">
        <w:rPr>
          <w:rFonts w:ascii="Calibri" w:eastAsia="Calibri" w:hAnsi="Calibri" w:cs="Times New Roman"/>
          <w:bCs/>
          <w:i/>
          <w:iCs/>
          <w:color w:val="31849B"/>
          <w:szCs w:val="24"/>
          <w:lang w:eastAsia="hr-HR"/>
        </w:rPr>
        <w:t>Analiza turističke ponude i poslovnih pokazatelja ugostiteljstva i turizma u HNŽ/K</w:t>
      </w:r>
      <w:r w:rsidRPr="006C69B9">
        <w:rPr>
          <w:rFonts w:ascii="Calibri" w:eastAsia="Calibri" w:hAnsi="Calibri" w:cs="Times New Roman"/>
          <w:bCs/>
          <w:i/>
          <w:iCs/>
          <w:color w:val="31849B"/>
          <w:szCs w:val="24"/>
          <w:lang w:eastAsia="hr-HR"/>
        </w:rPr>
        <w:br/>
      </w:r>
    </w:p>
    <w:p w:rsidR="006C69B9" w:rsidRPr="006C69B9" w:rsidRDefault="006C69B9" w:rsidP="006C69B9">
      <w:pPr>
        <w:jc w:val="both"/>
        <w:rPr>
          <w:rFonts w:ascii="Calibri" w:eastAsia="Calibri" w:hAnsi="Calibri" w:cs="Calibri"/>
          <w:lang w:val="bs-Latn-BA"/>
        </w:rPr>
      </w:pPr>
      <w:r w:rsidRPr="006C69B9">
        <w:rPr>
          <w:rFonts w:ascii="Calibri" w:eastAsia="Calibri" w:hAnsi="Calibri" w:cs="Calibri"/>
          <w:lang w:val="bs-Latn-BA"/>
        </w:rPr>
        <w:t xml:space="preserve">Turistička ponuda bilo koje destinacije, pa tako i HNŽ/K, temelji se na analizi njezinih osnovnih dijelova/sastavnica, što uključuje: (i) smještajne kapacitete/sadržaje ugostiteljske ponude, (ii) poslovne pokazatelje sektora smještaja i ugostiteljstva - područje I KD BiH 2010 te (iii) pregled i okvirnu valorizaciju glavnih turističkih resursa i atrakcija. </w:t>
      </w:r>
    </w:p>
    <w:p w:rsidR="006C69B9" w:rsidRPr="006C69B9" w:rsidRDefault="006C69B9" w:rsidP="006C69B9">
      <w:pPr>
        <w:jc w:val="both"/>
        <w:rPr>
          <w:rFonts w:ascii="Calibri" w:eastAsia="Calibri" w:hAnsi="Calibri" w:cs="Calibri"/>
        </w:rPr>
      </w:pPr>
      <w:r w:rsidRPr="006C69B9">
        <w:rPr>
          <w:rFonts w:ascii="Calibri" w:eastAsia="Calibri" w:hAnsi="Calibri" w:cs="Calibri"/>
        </w:rPr>
        <w:t>Prema službenim podacima FZS-a i temeljem podataka dostupnih u Registru o razvrstavanju i kategorizaciji objekata Ministarstva trgovine, turizma i zaštite okoliša HNŽ/K, na području HNŽ/K registrirano je 549 smještajnih objekata s ukupno 13.698 soba i 25.930 postelja. Najveći broj registriranih smještajnih objekata je iz kategorije sobe za iznajmljivanje (55%) dok je najveći broj postelja u hotelima i sličnim smještajnim objektima (Slika 5).</w:t>
      </w:r>
    </w:p>
    <w:p w:rsidR="006C69B9" w:rsidRPr="006C69B9" w:rsidRDefault="006C69B9" w:rsidP="006C69B9">
      <w:pPr>
        <w:jc w:val="both"/>
        <w:rPr>
          <w:rFonts w:ascii="Calibri" w:eastAsia="Calibri" w:hAnsi="Calibri" w:cs="Calibri"/>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lastRenderedPageBreak/>
        <w:t>Slika 5 Smještajni kapaciteti u HNŽ/K prema vrstama</w:t>
      </w:r>
    </w:p>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noProof/>
          <w:lang w:eastAsia="hr-HR"/>
        </w:rPr>
        <w:drawing>
          <wp:inline distT="0" distB="0" distL="0" distR="0">
            <wp:extent cx="3703864" cy="1698172"/>
            <wp:effectExtent l="19050" t="0" r="10886" b="0"/>
            <wp:docPr id="69"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E80F822-AE06-425C-8EC4-748664304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69B9" w:rsidRPr="006C69B9" w:rsidRDefault="006C69B9" w:rsidP="006C69B9">
      <w:pPr>
        <w:spacing w:line="276" w:lineRule="auto"/>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w:t>
      </w:r>
    </w:p>
    <w:p w:rsidR="006C69B9" w:rsidRPr="006C69B9" w:rsidRDefault="006C69B9" w:rsidP="006C69B9">
      <w:pPr>
        <w:jc w:val="both"/>
        <w:rPr>
          <w:rFonts w:ascii="Calibri" w:eastAsia="Calibri" w:hAnsi="Calibri" w:cs="Calibri"/>
          <w:lang w:val="bs-Latn-BA"/>
        </w:rPr>
      </w:pPr>
      <w:r w:rsidRPr="006C69B9">
        <w:rPr>
          <w:rFonts w:ascii="Calibri" w:eastAsia="Calibri" w:hAnsi="Calibri" w:cs="Calibri"/>
        </w:rPr>
        <w:t xml:space="preserve">Analiza prostorne distribucije smještajnih objekata pokazuje da je ponuda smještaja na području HNŽ/K izrazito prostorno koncentrirana – prema službenim podacima u samo tri destinacije  se nalazi više od 95% od ukupnog broja raspoloživih postelja, pri čemu prednjači općina Čitluk (Međugorje) s čak 63% ukupno registriranih postelja na području HNŽ/K </w:t>
      </w:r>
      <w:r w:rsidRPr="006C69B9">
        <w:rPr>
          <w:rFonts w:ascii="Calibri" w:eastAsia="Calibri" w:hAnsi="Calibri" w:cs="Calibri"/>
          <w:lang w:val="bs-Latn-BA"/>
        </w:rPr>
        <w:t xml:space="preserve">(Tabela 40).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40 Prostorni raspored smještajnih kapaciteta u HNŽ/K u 2019. godini   </w:t>
      </w:r>
    </w:p>
    <w:tbl>
      <w:tblPr>
        <w:tblStyle w:val="MediumGrid3-Accent51"/>
        <w:tblW w:w="8359" w:type="dxa"/>
        <w:jc w:val="center"/>
        <w:tblLayout w:type="fixed"/>
        <w:tblLook w:val="06E0"/>
      </w:tblPr>
      <w:tblGrid>
        <w:gridCol w:w="1510"/>
        <w:gridCol w:w="1369"/>
        <w:gridCol w:w="1370"/>
        <w:gridCol w:w="1370"/>
        <w:gridCol w:w="1370"/>
        <w:gridCol w:w="1370"/>
      </w:tblGrid>
      <w:tr w:rsidR="00F85905" w:rsidRPr="006C69B9" w:rsidTr="006C69B9">
        <w:trPr>
          <w:cnfStyle w:val="100000000000"/>
          <w:trHeight w:val="570"/>
          <w:jc w:val="center"/>
        </w:trPr>
        <w:tc>
          <w:tcPr>
            <w:cnfStyle w:val="001000000000"/>
            <w:tcW w:w="1510" w:type="dxa"/>
            <w:vAlign w:val="center"/>
          </w:tcPr>
          <w:p w:rsidR="006C69B9" w:rsidRPr="006C69B9" w:rsidRDefault="006C69B9" w:rsidP="006C69B9">
            <w:pPr>
              <w:jc w:val="center"/>
              <w:rPr>
                <w:rFonts w:ascii="Calibri" w:eastAsia="Calibri" w:hAnsi="Calibri" w:cs="Calibri"/>
                <w:sz w:val="20"/>
                <w:szCs w:val="20"/>
                <w:lang w:val="bs-Latn-BA"/>
              </w:rPr>
            </w:pPr>
            <w:r w:rsidRPr="006C69B9">
              <w:rPr>
                <w:rFonts w:ascii="Calibri" w:eastAsia="Calibri" w:hAnsi="Calibri" w:cs="Calibri"/>
                <w:sz w:val="20"/>
                <w:szCs w:val="20"/>
                <w:lang w:val="bs-Latn-BA"/>
              </w:rPr>
              <w:t>Grad/općina</w:t>
            </w:r>
          </w:p>
        </w:tc>
        <w:tc>
          <w:tcPr>
            <w:tcW w:w="1369"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objekata</w:t>
            </w:r>
          </w:p>
        </w:tc>
        <w:tc>
          <w:tcPr>
            <w:tcW w:w="137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soba</w:t>
            </w:r>
          </w:p>
        </w:tc>
        <w:tc>
          <w:tcPr>
            <w:tcW w:w="137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kreveta</w:t>
            </w:r>
          </w:p>
        </w:tc>
        <w:tc>
          <w:tcPr>
            <w:tcW w:w="137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soba (%)</w:t>
            </w:r>
          </w:p>
        </w:tc>
        <w:tc>
          <w:tcPr>
            <w:tcW w:w="137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kreveta (%)</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Čitluk</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370</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9.456</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16.448</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69,0</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63,4</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Neum</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50</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2.362</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4.986</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17,2</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19,2</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Mostar</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102</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1.432</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3.241</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10,5</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12,5</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Konjic</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8</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145</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635</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1,1</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2,4</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Čapljina</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8</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147</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301</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1,1</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1,2</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Jablanica</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3</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87</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186</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0,6</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0,7</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Prozor</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4</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43</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92</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0,3</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0,4</w:t>
            </w:r>
          </w:p>
        </w:tc>
      </w:tr>
      <w:tr w:rsidR="00F85905" w:rsidRPr="006C69B9" w:rsidTr="006C69B9">
        <w:trPr>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Ravno</w:t>
            </w:r>
          </w:p>
        </w:tc>
        <w:tc>
          <w:tcPr>
            <w:tcW w:w="1369"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2</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9</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rPr>
              <w:t>27</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0,1</w:t>
            </w:r>
          </w:p>
        </w:tc>
        <w:tc>
          <w:tcPr>
            <w:tcW w:w="1370" w:type="dxa"/>
            <w:vAlign w:val="center"/>
          </w:tcPr>
          <w:p w:rsidR="006C69B9" w:rsidRPr="006C69B9" w:rsidRDefault="006C69B9" w:rsidP="006C69B9">
            <w:pPr>
              <w:jc w:val="center"/>
              <w:cnfStyle w:val="000000000000"/>
              <w:rPr>
                <w:rFonts w:ascii="Calibri" w:eastAsia="Times New Roman" w:hAnsi="Calibri" w:cs="Calibri"/>
                <w:color w:val="000000"/>
                <w:sz w:val="20"/>
                <w:szCs w:val="20"/>
                <w:lang w:val="bs-Latn-BA"/>
              </w:rPr>
            </w:pPr>
            <w:r w:rsidRPr="006C69B9">
              <w:rPr>
                <w:rFonts w:ascii="Calibri" w:eastAsia="Times New Roman" w:hAnsi="Calibri" w:cs="Calibri"/>
                <w:color w:val="000000"/>
                <w:sz w:val="20"/>
                <w:szCs w:val="20"/>
                <w:lang w:val="bs-Latn-BA"/>
              </w:rPr>
              <w:t>0,1</w:t>
            </w:r>
          </w:p>
        </w:tc>
      </w:tr>
      <w:tr w:rsidR="00F85905" w:rsidRPr="006C69B9" w:rsidTr="006C69B9">
        <w:trPr>
          <w:cnfStyle w:val="010000000000"/>
          <w:trHeight w:val="300"/>
          <w:jc w:val="center"/>
        </w:trPr>
        <w:tc>
          <w:tcPr>
            <w:cnfStyle w:val="001000000000"/>
            <w:tcW w:w="151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Ukupno</w:t>
            </w:r>
          </w:p>
        </w:tc>
        <w:tc>
          <w:tcPr>
            <w:tcW w:w="1369" w:type="dxa"/>
            <w:vAlign w:val="center"/>
          </w:tcPr>
          <w:p w:rsidR="006C69B9" w:rsidRPr="006C69B9" w:rsidRDefault="006C69B9" w:rsidP="006C69B9">
            <w:pPr>
              <w:jc w:val="center"/>
              <w:cnfStyle w:val="010000000000"/>
              <w:rPr>
                <w:rFonts w:ascii="Calibri" w:eastAsia="Times New Roman" w:hAnsi="Calibri" w:cs="Calibri"/>
                <w:sz w:val="20"/>
                <w:szCs w:val="20"/>
                <w:lang w:val="bs-Latn-BA"/>
              </w:rPr>
            </w:pPr>
            <w:r w:rsidRPr="006C69B9">
              <w:rPr>
                <w:rFonts w:ascii="Calibri" w:eastAsia="Times New Roman" w:hAnsi="Calibri" w:cs="Calibri"/>
                <w:sz w:val="20"/>
                <w:szCs w:val="20"/>
              </w:rPr>
              <w:t>547</w:t>
            </w:r>
          </w:p>
        </w:tc>
        <w:tc>
          <w:tcPr>
            <w:tcW w:w="1370" w:type="dxa"/>
            <w:vAlign w:val="center"/>
          </w:tcPr>
          <w:p w:rsidR="006C69B9" w:rsidRPr="006C69B9" w:rsidRDefault="006C69B9" w:rsidP="006C69B9">
            <w:pPr>
              <w:jc w:val="center"/>
              <w:cnfStyle w:val="010000000000"/>
              <w:rPr>
                <w:rFonts w:ascii="Calibri" w:eastAsia="Times New Roman" w:hAnsi="Calibri" w:cs="Calibri"/>
                <w:sz w:val="20"/>
                <w:szCs w:val="20"/>
                <w:lang w:val="bs-Latn-BA"/>
              </w:rPr>
            </w:pPr>
            <w:r w:rsidRPr="006C69B9">
              <w:rPr>
                <w:rFonts w:ascii="Calibri" w:eastAsia="Times New Roman" w:hAnsi="Calibri" w:cs="Calibri"/>
                <w:sz w:val="20"/>
                <w:szCs w:val="20"/>
              </w:rPr>
              <w:t>13681</w:t>
            </w:r>
          </w:p>
        </w:tc>
        <w:tc>
          <w:tcPr>
            <w:tcW w:w="1370" w:type="dxa"/>
            <w:vAlign w:val="center"/>
          </w:tcPr>
          <w:p w:rsidR="006C69B9" w:rsidRPr="006C69B9" w:rsidRDefault="006C69B9" w:rsidP="006C69B9">
            <w:pPr>
              <w:jc w:val="center"/>
              <w:cnfStyle w:val="010000000000"/>
              <w:rPr>
                <w:rFonts w:ascii="Calibri" w:eastAsia="Times New Roman" w:hAnsi="Calibri" w:cs="Calibri"/>
                <w:sz w:val="20"/>
                <w:szCs w:val="20"/>
                <w:lang w:val="bs-Latn-BA"/>
              </w:rPr>
            </w:pPr>
            <w:r w:rsidRPr="006C69B9">
              <w:rPr>
                <w:rFonts w:ascii="Calibri" w:eastAsia="Times New Roman" w:hAnsi="Calibri" w:cs="Calibri"/>
                <w:sz w:val="20"/>
                <w:szCs w:val="20"/>
              </w:rPr>
              <w:t>25916</w:t>
            </w:r>
          </w:p>
        </w:tc>
        <w:tc>
          <w:tcPr>
            <w:tcW w:w="1370" w:type="dxa"/>
            <w:vAlign w:val="center"/>
          </w:tcPr>
          <w:p w:rsidR="006C69B9" w:rsidRPr="006C69B9" w:rsidRDefault="006C69B9" w:rsidP="006C69B9">
            <w:pPr>
              <w:jc w:val="center"/>
              <w:cnfStyle w:val="010000000000"/>
              <w:rPr>
                <w:rFonts w:ascii="Calibri" w:eastAsia="Times New Roman" w:hAnsi="Calibri" w:cs="Calibri"/>
                <w:sz w:val="20"/>
                <w:szCs w:val="20"/>
                <w:lang w:val="bs-Latn-BA"/>
              </w:rPr>
            </w:pPr>
            <w:r w:rsidRPr="006C69B9">
              <w:rPr>
                <w:rFonts w:ascii="Calibri" w:eastAsia="Times New Roman" w:hAnsi="Calibri" w:cs="Calibri"/>
                <w:sz w:val="20"/>
                <w:szCs w:val="20"/>
                <w:lang w:val="bs-Latn-BA"/>
              </w:rPr>
              <w:t>100%</w:t>
            </w:r>
          </w:p>
        </w:tc>
        <w:tc>
          <w:tcPr>
            <w:tcW w:w="1370" w:type="dxa"/>
            <w:vAlign w:val="center"/>
          </w:tcPr>
          <w:p w:rsidR="006C69B9" w:rsidRPr="006C69B9" w:rsidRDefault="006C69B9" w:rsidP="006C69B9">
            <w:pPr>
              <w:jc w:val="center"/>
              <w:cnfStyle w:val="010000000000"/>
              <w:rPr>
                <w:rFonts w:ascii="Calibri" w:eastAsia="Times New Roman" w:hAnsi="Calibri" w:cs="Calibri"/>
                <w:sz w:val="20"/>
                <w:szCs w:val="20"/>
                <w:lang w:val="bs-Latn-BA"/>
              </w:rPr>
            </w:pPr>
            <w:r w:rsidRPr="006C69B9">
              <w:rPr>
                <w:rFonts w:ascii="Calibri" w:eastAsia="Times New Roman" w:hAnsi="Calibri" w:cs="Calibri"/>
                <w:sz w:val="20"/>
                <w:szCs w:val="20"/>
                <w:lang w:val="bs-Latn-BA"/>
              </w:rPr>
              <w:t>100%</w:t>
            </w:r>
          </w:p>
        </w:tc>
      </w:tr>
    </w:tbl>
    <w:p w:rsidR="006C69B9" w:rsidRPr="006C69B9" w:rsidRDefault="006C69B9" w:rsidP="006C69B9">
      <w:pPr>
        <w:jc w:val="center"/>
        <w:rPr>
          <w:rFonts w:ascii="Calibri" w:eastAsia="Calibri" w:hAnsi="Calibri" w:cs="Calibri"/>
          <w:i/>
          <w:sz w:val="18"/>
          <w:szCs w:val="18"/>
        </w:rPr>
      </w:pPr>
      <w:r w:rsidRPr="006C69B9">
        <w:rPr>
          <w:rFonts w:ascii="Calibri" w:eastAsia="Calibri" w:hAnsi="Calibri" w:cs="Calibri"/>
          <w:i/>
          <w:sz w:val="18"/>
          <w:szCs w:val="18"/>
        </w:rPr>
        <w:t>Izvor: Federalni zavod za statistiku, Registar o razvrstavanju i kategorizaciji objekata Ministarstva trgovine, turizma i zaštite okoliša HNŽ/K</w:t>
      </w:r>
    </w:p>
    <w:p w:rsidR="006C69B9" w:rsidRPr="006C69B9" w:rsidRDefault="006C69B9" w:rsidP="006C69B9">
      <w:pPr>
        <w:jc w:val="both"/>
        <w:rPr>
          <w:rFonts w:ascii="Calibri" w:eastAsia="Calibri" w:hAnsi="Calibri" w:cs="Calibri"/>
        </w:rPr>
      </w:pPr>
      <w:r w:rsidRPr="006C69B9">
        <w:rPr>
          <w:rFonts w:ascii="Calibri" w:eastAsia="Calibri" w:hAnsi="Calibri" w:cs="Calibri"/>
          <w:lang w:val="bs-Latn-BA"/>
        </w:rPr>
        <w:t xml:space="preserve">Ovdje ponovo treba naglasiti činjenicu da se radi o službenim statističkim podacima koji se, najvjerojatnije, </w:t>
      </w:r>
      <w:r w:rsidRPr="006C69B9">
        <w:rPr>
          <w:rFonts w:ascii="Calibri" w:eastAsia="Calibri" w:hAnsi="Calibri" w:cs="Calibri"/>
          <w:b/>
          <w:lang w:val="bs-Latn-BA"/>
        </w:rPr>
        <w:t>značajno razlikuju od realnog stanja ponude smještaja u HNŽ/K</w:t>
      </w:r>
      <w:r w:rsidRPr="006C69B9">
        <w:rPr>
          <w:rFonts w:ascii="Calibri" w:eastAsia="Calibri" w:hAnsi="Calibri" w:cs="Calibri"/>
          <w:lang w:val="bs-Latn-BA"/>
        </w:rPr>
        <w:t>, s obzirom da ovim statističkim podacima nisu obuhvaćeni pružatelji usluga smještaja u domaćinstvu  - tzv. privatni smještaj, kao ni kratkoročni najam apartmana, npr. preko OTA platformi (kao što su booking.com i Airbnb).</w:t>
      </w:r>
      <w:r w:rsidRPr="006C69B9">
        <w:rPr>
          <w:rFonts w:ascii="Calibri" w:eastAsia="Calibri" w:hAnsi="Calibri" w:cs="Calibri"/>
        </w:rPr>
        <w:t xml:space="preserve"> Smještajni objekti su najveći u Neumu (prosječno 47 soba po smještajnom objektu) a najmanji u Mostaru, gdje dominiraju manji hoteli i sobe za iznajmljivanje (prosječno 14 soba po smještajnom objektu). Općina Čitluk je prema prosječnoj veličini smještajnih objekata (25 soba po objektu) pozicionirana između Neuma i Mostara.</w:t>
      </w:r>
    </w:p>
    <w:p w:rsidR="006C69B9" w:rsidRPr="006C69B9" w:rsidRDefault="006C69B9" w:rsidP="006C69B9">
      <w:pPr>
        <w:jc w:val="both"/>
        <w:rPr>
          <w:rFonts w:ascii="Calibri" w:eastAsia="Calibri" w:hAnsi="Calibri" w:cs="Calibri"/>
        </w:rPr>
      </w:pPr>
      <w:r w:rsidRPr="006C69B9">
        <w:rPr>
          <w:rFonts w:ascii="Calibri" w:eastAsia="Calibri" w:hAnsi="Calibri" w:cs="Calibri"/>
        </w:rPr>
        <w:t xml:space="preserve">Kada je riječ o kvaliteti smještajnih objekata, a prema registru koji vodi Federalno ministarstvo okoliša i turizma, HNŽ/K raspolaže i značajnim brojem objekata (63) visoke kvalitete (4* i 5*), pri čemu je najvažnije istaknuti da su u HNŽ/K registrirana dva hotela 5* (oba u Mostaru) i 39 hotela kategorije 4* (20 u Čitluku, 8 u Neumu, 8 u Mostaru, 2 u Čapljini i 1 u Jablanici). </w:t>
      </w:r>
    </w:p>
    <w:p w:rsidR="006C69B9" w:rsidRPr="006C69B9" w:rsidRDefault="006C69B9" w:rsidP="006C69B9">
      <w:pPr>
        <w:spacing w:after="0"/>
        <w:jc w:val="both"/>
        <w:rPr>
          <w:rFonts w:ascii="Calibri" w:eastAsia="Calibri" w:hAnsi="Calibri" w:cs="Calibri"/>
          <w:lang w:val="bs-Latn-BA"/>
        </w:rPr>
      </w:pPr>
      <w:r w:rsidRPr="006C69B9">
        <w:rPr>
          <w:rFonts w:ascii="Calibri" w:eastAsia="Calibri" w:hAnsi="Calibri" w:cs="Calibri"/>
          <w:lang w:val="bs-Latn-BA"/>
        </w:rPr>
        <w:t xml:space="preserve">Prema podacima dostupnim u publikaciji FZS-a „Hercegovačko-neretvanski kanton u brojkama“ na području I KD BiH 2010 (Djelatnost pružanja smještaja te priprema i usluživanja hrane) u 2019. godini bile su registrirane </w:t>
      </w:r>
      <w:r w:rsidRPr="006C69B9">
        <w:rPr>
          <w:rFonts w:ascii="Calibri" w:eastAsia="Calibri" w:hAnsi="Calibri" w:cs="Calibri"/>
          <w:b/>
          <w:lang w:val="bs-Latn-BA"/>
        </w:rPr>
        <w:t>233 pravne osobe, 339 dijelova pravnih osoba te 2.065 obrta</w:t>
      </w:r>
      <w:r w:rsidRPr="006C69B9">
        <w:rPr>
          <w:rFonts w:ascii="Calibri" w:eastAsia="Calibri" w:hAnsi="Calibri" w:cs="Calibri"/>
          <w:lang w:val="bs-Latn-BA"/>
        </w:rPr>
        <w:t xml:space="preserve"> (porast u odnosu na 2015. godinu). U ukupnom broju poslovnih subjekata u HNŽ/K, poslovni subjekti iz KD područja I </w:t>
      </w:r>
      <w:r w:rsidRPr="006C69B9">
        <w:rPr>
          <w:rFonts w:ascii="Calibri" w:eastAsia="Calibri" w:hAnsi="Calibri" w:cs="Calibri"/>
          <w:lang w:val="bs-Latn-BA"/>
        </w:rPr>
        <w:lastRenderedPageBreak/>
        <w:t xml:space="preserve">sudjeluju </w:t>
      </w:r>
      <w:r w:rsidRPr="006C69B9">
        <w:rPr>
          <w:rFonts w:ascii="Calibri" w:eastAsia="Calibri" w:hAnsi="Calibri" w:cs="Calibri"/>
          <w:b/>
          <w:lang w:val="bs-Latn-BA"/>
        </w:rPr>
        <w:t>s oko 15%.</w:t>
      </w:r>
      <w:r w:rsidRPr="006C69B9">
        <w:rPr>
          <w:rFonts w:ascii="Calibri" w:eastAsia="Calibri" w:hAnsi="Calibri" w:cs="Calibri"/>
          <w:lang w:val="bs-Latn-BA"/>
        </w:rPr>
        <w:t xml:space="preserve"> Prosječan broj zaposlenih u KD području I u 2019. godini bio </w:t>
      </w:r>
      <w:r w:rsidRPr="006C69B9">
        <w:rPr>
          <w:rFonts w:ascii="Calibri" w:eastAsia="Calibri" w:hAnsi="Calibri" w:cs="Calibri"/>
          <w:b/>
          <w:lang w:val="bs-Latn-BA"/>
        </w:rPr>
        <w:t>je 4.335 osoba</w:t>
      </w:r>
      <w:r w:rsidRPr="006C69B9">
        <w:rPr>
          <w:rFonts w:ascii="Calibri" w:eastAsia="Calibri" w:hAnsi="Calibri" w:cs="Calibri"/>
          <w:lang w:val="bs-Latn-BA"/>
        </w:rPr>
        <w:t xml:space="preserve">, dok je prosječna neto plaća iznosila </w:t>
      </w:r>
      <w:r w:rsidRPr="006C69B9">
        <w:rPr>
          <w:rFonts w:ascii="Calibri" w:eastAsia="Calibri" w:hAnsi="Calibri" w:cs="Calibri"/>
          <w:b/>
          <w:lang w:val="bs-Latn-BA"/>
        </w:rPr>
        <w:t>621 KM, što je znatno manje od županijskog prosjeka (62% županijskog prosjeka), koji iznosi 1.011 KM</w:t>
      </w:r>
      <w:r w:rsidRPr="006C69B9">
        <w:rPr>
          <w:rFonts w:ascii="Calibri" w:eastAsia="Calibri" w:hAnsi="Calibri" w:cs="Calibri"/>
          <w:lang w:val="bs-Latn-BA"/>
        </w:rPr>
        <w:t>. Tabela 39 daje sažeti prikaz dostupnih ekonomskih pokazatelja za djelatnost I KD BiH 2010 u HNŽ/K (djelatnosti pružanja smještaja te pripreme i usluživanja hrane). S druge strane, prosječna neto plaća u KD I na razini FBiH iznosi 545 KM i niža je nego u HNŽ/K.</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41</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Ekonomski pokazatelji za djelatnost I KD BiH 2010 u HNŽ/K</w:t>
      </w:r>
    </w:p>
    <w:tbl>
      <w:tblPr>
        <w:tblStyle w:val="MediumGrid3-Accent51"/>
        <w:tblW w:w="9351" w:type="dxa"/>
        <w:tblLayout w:type="fixed"/>
        <w:tblLook w:val="06E0"/>
      </w:tblPr>
      <w:tblGrid>
        <w:gridCol w:w="279"/>
        <w:gridCol w:w="3343"/>
        <w:gridCol w:w="1909"/>
        <w:gridCol w:w="1910"/>
        <w:gridCol w:w="1910"/>
      </w:tblGrid>
      <w:tr w:rsidR="00F85905" w:rsidRPr="006C69B9" w:rsidTr="006C69B9">
        <w:trPr>
          <w:cnfStyle w:val="100000000000"/>
          <w:trHeight w:val="615"/>
        </w:trPr>
        <w:tc>
          <w:tcPr>
            <w:cnfStyle w:val="001000000000"/>
            <w:tcW w:w="3622" w:type="dxa"/>
            <w:gridSpan w:val="2"/>
            <w:vAlign w:val="center"/>
          </w:tcPr>
          <w:p w:rsidR="006C69B9" w:rsidRPr="006C69B9" w:rsidRDefault="006C69B9" w:rsidP="006C69B9">
            <w:pPr>
              <w:jc w:val="center"/>
              <w:rPr>
                <w:rFonts w:ascii="Calibri" w:eastAsia="Calibri" w:hAnsi="Calibri" w:cs="Calibri"/>
                <w:sz w:val="20"/>
                <w:szCs w:val="20"/>
                <w:lang w:val="bs-Latn-BA"/>
              </w:rPr>
            </w:pPr>
            <w:r w:rsidRPr="006C69B9">
              <w:rPr>
                <w:rFonts w:ascii="Calibri" w:eastAsia="Calibri" w:hAnsi="Calibri" w:cs="Calibri"/>
                <w:sz w:val="20"/>
                <w:szCs w:val="20"/>
                <w:lang w:val="bs-Latn-BA"/>
              </w:rPr>
              <w:t>Pokazatelj</w:t>
            </w:r>
          </w:p>
        </w:tc>
        <w:tc>
          <w:tcPr>
            <w:tcW w:w="1909"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Djelatnost I KD BiH 2010.</w:t>
            </w:r>
          </w:p>
        </w:tc>
        <w:tc>
          <w:tcPr>
            <w:tcW w:w="191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Sve djelatnosti</w:t>
            </w:r>
          </w:p>
        </w:tc>
        <w:tc>
          <w:tcPr>
            <w:tcW w:w="1910" w:type="dxa"/>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Udio djelatnosti I u ukupnom (%)</w:t>
            </w:r>
          </w:p>
        </w:tc>
      </w:tr>
      <w:tr w:rsidR="00F85905" w:rsidRPr="006C69B9" w:rsidTr="006C69B9">
        <w:trPr>
          <w:trHeight w:val="300"/>
        </w:trPr>
        <w:tc>
          <w:tcPr>
            <w:cnfStyle w:val="001000000000"/>
            <w:tcW w:w="3622" w:type="dxa"/>
            <w:gridSpan w:val="2"/>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Broj poslovnih subjekata</w:t>
            </w:r>
          </w:p>
        </w:tc>
        <w:tc>
          <w:tcPr>
            <w:tcW w:w="19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2.377</w:t>
            </w:r>
          </w:p>
        </w:tc>
        <w:tc>
          <w:tcPr>
            <w:tcW w:w="1910" w:type="dxa"/>
          </w:tcPr>
          <w:p w:rsidR="006C69B9" w:rsidRPr="006C69B9" w:rsidRDefault="006C69B9" w:rsidP="006C69B9">
            <w:pPr>
              <w:jc w:val="right"/>
              <w:cnfStyle w:val="000000000000"/>
              <w:rPr>
                <w:rFonts w:ascii="Calibri" w:eastAsia="Calibri" w:hAnsi="Calibri" w:cs="Calibri"/>
                <w:color w:val="FF0000"/>
                <w:sz w:val="20"/>
                <w:szCs w:val="20"/>
                <w:lang w:val="bs-Latn-BA"/>
              </w:rPr>
            </w:pPr>
            <w:r w:rsidRPr="006C69B9">
              <w:rPr>
                <w:rFonts w:ascii="Calibri" w:eastAsia="Calibri" w:hAnsi="Calibri" w:cs="Calibri"/>
                <w:sz w:val="20"/>
                <w:szCs w:val="20"/>
                <w:lang w:val="bs-Latn-BA"/>
              </w:rPr>
              <w:t>18.133</w:t>
            </w:r>
          </w:p>
        </w:tc>
        <w:tc>
          <w:tcPr>
            <w:tcW w:w="191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14,58</w:t>
            </w:r>
          </w:p>
        </w:tc>
      </w:tr>
      <w:tr w:rsidR="00F85905" w:rsidRPr="006C69B9" w:rsidTr="006C69B9">
        <w:trPr>
          <w:trHeight w:val="300"/>
        </w:trPr>
        <w:tc>
          <w:tcPr>
            <w:cnfStyle w:val="001000000000"/>
            <w:tcW w:w="279"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 </w:t>
            </w:r>
          </w:p>
        </w:tc>
        <w:tc>
          <w:tcPr>
            <w:tcW w:w="3343" w:type="dxa"/>
            <w:shd w:val="clear" w:color="auto" w:fill="4BACC6"/>
          </w:tcPr>
          <w:p w:rsidR="006C69B9" w:rsidRPr="006C69B9" w:rsidRDefault="006C69B9" w:rsidP="006C69B9">
            <w:pPr>
              <w:cnfStyle w:val="000000000000"/>
              <w:rPr>
                <w:rFonts w:ascii="Calibri" w:eastAsia="Calibri" w:hAnsi="Calibri" w:cs="Calibri"/>
                <w:color w:val="FFFFFF"/>
                <w:sz w:val="20"/>
                <w:szCs w:val="20"/>
                <w:lang w:val="bs-Latn-BA"/>
              </w:rPr>
            </w:pPr>
            <w:r w:rsidRPr="006C69B9">
              <w:rPr>
                <w:rFonts w:ascii="Calibri" w:eastAsia="Calibri" w:hAnsi="Calibri" w:cs="Calibri"/>
                <w:color w:val="FFFFFF"/>
                <w:sz w:val="20"/>
                <w:szCs w:val="20"/>
                <w:lang w:val="bs-Latn-BA"/>
              </w:rPr>
              <w:t>- Pravne osobe</w:t>
            </w:r>
          </w:p>
        </w:tc>
        <w:tc>
          <w:tcPr>
            <w:tcW w:w="19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233</w:t>
            </w:r>
          </w:p>
        </w:tc>
        <w:tc>
          <w:tcPr>
            <w:tcW w:w="1910" w:type="dxa"/>
          </w:tcPr>
          <w:p w:rsidR="006C69B9" w:rsidRPr="006C69B9" w:rsidRDefault="006C69B9" w:rsidP="006C69B9">
            <w:pPr>
              <w:jc w:val="right"/>
              <w:cnfStyle w:val="000000000000"/>
              <w:rPr>
                <w:rFonts w:ascii="Calibri" w:eastAsia="Calibri" w:hAnsi="Calibri" w:cs="Calibri"/>
                <w:color w:val="FF0000"/>
                <w:sz w:val="20"/>
                <w:szCs w:val="20"/>
                <w:lang w:val="bs-Latn-BA"/>
              </w:rPr>
            </w:pPr>
            <w:r w:rsidRPr="006C69B9">
              <w:rPr>
                <w:rFonts w:ascii="Calibri" w:eastAsia="Calibri" w:hAnsi="Calibri" w:cs="Calibri"/>
                <w:sz w:val="20"/>
                <w:szCs w:val="20"/>
                <w:lang w:val="bs-Latn-BA"/>
              </w:rPr>
              <w:t>7.267</w:t>
            </w:r>
          </w:p>
        </w:tc>
        <w:tc>
          <w:tcPr>
            <w:tcW w:w="191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2,85</w:t>
            </w:r>
          </w:p>
        </w:tc>
      </w:tr>
      <w:tr w:rsidR="00F85905" w:rsidRPr="006C69B9" w:rsidTr="006C69B9">
        <w:trPr>
          <w:trHeight w:val="300"/>
        </w:trPr>
        <w:tc>
          <w:tcPr>
            <w:cnfStyle w:val="001000000000"/>
            <w:tcW w:w="279"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 </w:t>
            </w:r>
          </w:p>
        </w:tc>
        <w:tc>
          <w:tcPr>
            <w:tcW w:w="3343" w:type="dxa"/>
            <w:shd w:val="clear" w:color="auto" w:fill="4BACC6"/>
          </w:tcPr>
          <w:p w:rsidR="006C69B9" w:rsidRPr="006C69B9" w:rsidRDefault="006C69B9" w:rsidP="006C69B9">
            <w:pPr>
              <w:cnfStyle w:val="000000000000"/>
              <w:rPr>
                <w:rFonts w:ascii="Calibri" w:eastAsia="Calibri" w:hAnsi="Calibri" w:cs="Calibri"/>
                <w:color w:val="FFFFFF"/>
                <w:sz w:val="20"/>
                <w:szCs w:val="20"/>
                <w:lang w:val="bs-Latn-BA"/>
              </w:rPr>
            </w:pPr>
            <w:r w:rsidRPr="006C69B9">
              <w:rPr>
                <w:rFonts w:ascii="Calibri" w:eastAsia="Calibri" w:hAnsi="Calibri" w:cs="Calibri"/>
                <w:color w:val="FFFFFF"/>
                <w:sz w:val="20"/>
                <w:szCs w:val="20"/>
                <w:lang w:val="bs-Latn-BA"/>
              </w:rPr>
              <w:t>- Dijelovi pravnih osoba</w:t>
            </w:r>
          </w:p>
        </w:tc>
        <w:tc>
          <w:tcPr>
            <w:tcW w:w="19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339</w:t>
            </w:r>
          </w:p>
        </w:tc>
        <w:tc>
          <w:tcPr>
            <w:tcW w:w="1910" w:type="dxa"/>
          </w:tcPr>
          <w:p w:rsidR="006C69B9" w:rsidRPr="006C69B9" w:rsidRDefault="006C69B9" w:rsidP="006C69B9">
            <w:pPr>
              <w:jc w:val="right"/>
              <w:cnfStyle w:val="000000000000"/>
              <w:rPr>
                <w:rFonts w:ascii="Calibri" w:eastAsia="Calibri" w:hAnsi="Calibri" w:cs="Calibri"/>
                <w:color w:val="FF0000"/>
                <w:sz w:val="20"/>
                <w:szCs w:val="20"/>
                <w:lang w:val="bs-Latn-BA"/>
              </w:rPr>
            </w:pPr>
            <w:r w:rsidRPr="006C69B9">
              <w:rPr>
                <w:rFonts w:ascii="Calibri" w:eastAsia="Calibri" w:hAnsi="Calibri" w:cs="Calibri"/>
                <w:sz w:val="20"/>
                <w:szCs w:val="20"/>
                <w:lang w:val="bs-Latn-BA"/>
              </w:rPr>
              <w:t>3.393</w:t>
            </w:r>
          </w:p>
        </w:tc>
        <w:tc>
          <w:tcPr>
            <w:tcW w:w="191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8,75</w:t>
            </w:r>
          </w:p>
        </w:tc>
      </w:tr>
      <w:tr w:rsidR="00F85905" w:rsidRPr="006C69B9" w:rsidTr="006C69B9">
        <w:trPr>
          <w:trHeight w:val="300"/>
        </w:trPr>
        <w:tc>
          <w:tcPr>
            <w:cnfStyle w:val="001000000000"/>
            <w:tcW w:w="279"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 </w:t>
            </w:r>
          </w:p>
        </w:tc>
        <w:tc>
          <w:tcPr>
            <w:tcW w:w="3343" w:type="dxa"/>
            <w:shd w:val="clear" w:color="auto" w:fill="4BACC6"/>
          </w:tcPr>
          <w:p w:rsidR="006C69B9" w:rsidRPr="006C69B9" w:rsidRDefault="006C69B9" w:rsidP="006C69B9">
            <w:pPr>
              <w:cnfStyle w:val="000000000000"/>
              <w:rPr>
                <w:rFonts w:ascii="Calibri" w:eastAsia="Calibri" w:hAnsi="Calibri" w:cs="Calibri"/>
                <w:color w:val="FFFFFF"/>
                <w:sz w:val="20"/>
                <w:szCs w:val="20"/>
                <w:lang w:val="bs-Latn-BA"/>
              </w:rPr>
            </w:pPr>
            <w:r w:rsidRPr="006C69B9">
              <w:rPr>
                <w:rFonts w:ascii="Calibri" w:eastAsia="Calibri" w:hAnsi="Calibri" w:cs="Calibri"/>
                <w:color w:val="FFFFFF"/>
                <w:sz w:val="20"/>
                <w:szCs w:val="20"/>
                <w:lang w:val="bs-Latn-BA"/>
              </w:rPr>
              <w:t>- Obrt</w:t>
            </w:r>
          </w:p>
        </w:tc>
        <w:tc>
          <w:tcPr>
            <w:tcW w:w="19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2.065</w:t>
            </w:r>
          </w:p>
        </w:tc>
        <w:tc>
          <w:tcPr>
            <w:tcW w:w="1910" w:type="dxa"/>
          </w:tcPr>
          <w:p w:rsidR="006C69B9" w:rsidRPr="006C69B9" w:rsidRDefault="006C69B9" w:rsidP="006C69B9">
            <w:pPr>
              <w:jc w:val="right"/>
              <w:cnfStyle w:val="000000000000"/>
              <w:rPr>
                <w:rFonts w:ascii="Calibri" w:eastAsia="Calibri" w:hAnsi="Calibri" w:cs="Calibri"/>
                <w:color w:val="FF0000"/>
                <w:sz w:val="20"/>
                <w:szCs w:val="20"/>
                <w:lang w:val="bs-Latn-BA"/>
              </w:rPr>
            </w:pPr>
            <w:r w:rsidRPr="006C69B9">
              <w:rPr>
                <w:rFonts w:ascii="Calibri" w:eastAsia="Calibri" w:hAnsi="Calibri" w:cs="Calibri"/>
                <w:sz w:val="20"/>
                <w:szCs w:val="20"/>
                <w:lang w:val="bs-Latn-BA"/>
              </w:rPr>
              <w:t>6.933</w:t>
            </w:r>
          </w:p>
        </w:tc>
        <w:tc>
          <w:tcPr>
            <w:tcW w:w="191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27,58</w:t>
            </w:r>
          </w:p>
        </w:tc>
      </w:tr>
      <w:tr w:rsidR="00F85905" w:rsidRPr="006C69B9" w:rsidTr="006C69B9">
        <w:trPr>
          <w:trHeight w:val="300"/>
        </w:trPr>
        <w:tc>
          <w:tcPr>
            <w:cnfStyle w:val="001000000000"/>
            <w:tcW w:w="3622" w:type="dxa"/>
            <w:gridSpan w:val="2"/>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Broj zaposlenih</w:t>
            </w:r>
          </w:p>
        </w:tc>
        <w:tc>
          <w:tcPr>
            <w:tcW w:w="19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4.335</w:t>
            </w:r>
          </w:p>
        </w:tc>
        <w:tc>
          <w:tcPr>
            <w:tcW w:w="191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55.213</w:t>
            </w:r>
          </w:p>
        </w:tc>
        <w:tc>
          <w:tcPr>
            <w:tcW w:w="1910"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7,09</w:t>
            </w:r>
          </w:p>
        </w:tc>
      </w:tr>
      <w:tr w:rsidR="00F85905" w:rsidRPr="006C69B9" w:rsidTr="006C69B9">
        <w:trPr>
          <w:cnfStyle w:val="010000000000"/>
          <w:trHeight w:val="300"/>
        </w:trPr>
        <w:tc>
          <w:tcPr>
            <w:cnfStyle w:val="001000000000"/>
            <w:tcW w:w="3622" w:type="dxa"/>
            <w:gridSpan w:val="2"/>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Prosječna neto plaća (KM)</w:t>
            </w:r>
          </w:p>
        </w:tc>
        <w:tc>
          <w:tcPr>
            <w:tcW w:w="1909"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621 KM</w:t>
            </w:r>
          </w:p>
        </w:tc>
        <w:tc>
          <w:tcPr>
            <w:tcW w:w="1910"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1.011 KM</w:t>
            </w:r>
          </w:p>
        </w:tc>
        <w:tc>
          <w:tcPr>
            <w:tcW w:w="1910"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67,90</w:t>
            </w:r>
          </w:p>
        </w:tc>
      </w:tr>
    </w:tbl>
    <w:p w:rsidR="006C69B9" w:rsidRPr="006C69B9" w:rsidRDefault="006C69B9" w:rsidP="006C69B9">
      <w:pPr>
        <w:spacing w:after="0"/>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statistiku.</w:t>
      </w:r>
    </w:p>
    <w:p w:rsidR="006C69B9" w:rsidRPr="006C69B9" w:rsidRDefault="006C69B9" w:rsidP="006C69B9">
      <w:pPr>
        <w:spacing w:after="0"/>
        <w:jc w:val="both"/>
        <w:rPr>
          <w:rFonts w:ascii="Calibri" w:eastAsia="Calibri" w:hAnsi="Calibri" w:cs="Times New Roman"/>
          <w:b/>
          <w:i/>
          <w:sz w:val="18"/>
          <w:szCs w:val="18"/>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 xml:space="preserve">Usporedbom s prosječnim neto plaćama iz drugih djelatnosti dolazi se do zaključka da su radnici u turizmu i ugostiteljsku među najslabije plaćenim radnicima u HNŽ/K. Međutim, takva situacija nije samo obilježje HNŽ/K nego turističkog sektora na globalnoj razini, budući se zna da je turizam radno intenzivna djelatnost kod koje je omjer uloženog rada i zarađenog novca izuzetno nepovoljan. </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24" w:name="_Toc57573213"/>
      <w:r w:rsidRPr="006C69B9">
        <w:rPr>
          <w:rFonts w:ascii="Calibri" w:eastAsia="Calibri" w:hAnsi="Calibri" w:cs="Times New Roman"/>
          <w:b/>
          <w:bCs/>
          <w:color w:val="4BACC6"/>
          <w:szCs w:val="26"/>
          <w:lang w:val="bs-Latn-BA" w:eastAsia="hr-HR"/>
        </w:rPr>
        <w:t>Analiza turističke resursne osnove</w:t>
      </w:r>
      <w:bookmarkEnd w:id="24"/>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 xml:space="preserve">Kada je riječ o turističkim potencijalima županije/kantona, oni se procjenjuju na temelju turističkih resursa i atrakcija koji su dostupni na području HNŽ/K. Potrebno je naglasiti da HNŽ/K raspolaže s izuzetno bogatom, kvalitetnom i diversificiranom turističkom resursnom osnovom, o čemu najbolje govori činjenica da HNŽ/K ima najveći broj dobara u BiH koja su upisana na stalnu ili potencijalnu listu materijalnih dobara koja su pod zaštitom UNESCO-a. Zaštita od strane UNESCO-a se uzima kao jedan od glavnih kriterija za vrednovanje pojedinačnih turističkih atrakcija ili turističkih destinacija u kojima se one nalaze. Kao neke od najvažnijih elemenata turističke ponude u HNŽ/K, ali i cijeloj BiH, mogu se izdvojiti slijedeće turističke atrakcije: </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Područje Starog Mosta i stare gradske jezgre grada Mostara koji se nalaze na UNESCO-ovoj listi zaštićene kulturne baštine i koji predstavlja najvažniji pojedinačni turistički resurs na području HNŽ/K</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Prirodne, povijesne i urbane cjeline Blidinje, Počitelj, Stolac i Blagaj (Tentativna lista UNESCO-ove svjetske baštine)</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Nekropole stećaka Radimlja i Boljuni (Stolac), Biskup (Konjic), Dugo Polje (Jablanica) – također uvrštene na Tentativnu listu UNESCO-ove svjetske baštine</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Spomenik prirode pećina Vjetrenica s arhitektonskom cjelinom sela Zavala (Tentativna lista UNESCO-ove svjetske baštine)</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Međugorje kao jedno od najpoznatijih svjetskih marijanskih svetišta</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Jadransku obalu i Jadransko more na području općine Neum</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Rijeku Neretvu i njezine pritoke (Radobolja, Trebižat, Bregava itd.)</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Čist i očuvan prirodni okoliš, a posebno zaštićena prirodna područja PP Hutovo Blato i PP Blidinje</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lastRenderedPageBreak/>
        <w:t>Raznovrsnost klimatskih uvjeta, od mediteranske klime na jugu HNŽ/K do kontinentalne i planinske klime na sjeveru, unutrašnjosti i planinama</w:t>
      </w:r>
    </w:p>
    <w:p w:rsidR="006C69B9" w:rsidRPr="006C69B9" w:rsidRDefault="006C69B9" w:rsidP="00F85905">
      <w:pPr>
        <w:numPr>
          <w:ilvl w:val="0"/>
          <w:numId w:val="4"/>
        </w:numPr>
        <w:pBdr>
          <w:top w:val="nil"/>
          <w:left w:val="nil"/>
          <w:bottom w:val="nil"/>
          <w:right w:val="nil"/>
          <w:between w:val="nil"/>
        </w:pBdr>
        <w:spacing w:after="0" w:line="276" w:lineRule="auto"/>
        <w:jc w:val="both"/>
        <w:rPr>
          <w:rFonts w:ascii="Calibri" w:eastAsia="Calibri" w:hAnsi="Calibri" w:cs="Calibri"/>
          <w:color w:val="000000"/>
          <w:lang w:val="bs-Latn-BA"/>
        </w:rPr>
      </w:pPr>
      <w:r w:rsidRPr="006C69B9">
        <w:rPr>
          <w:rFonts w:ascii="Calibri" w:eastAsia="Calibri" w:hAnsi="Calibri" w:cs="Calibri"/>
          <w:color w:val="000000"/>
          <w:lang w:val="bs-Latn-BA"/>
        </w:rPr>
        <w:t xml:space="preserve">Vrijedne geološke formacije, npr. špilja Vjetrenica (također na UNESO tentativnoj listi) </w:t>
      </w:r>
    </w:p>
    <w:p w:rsidR="006C69B9" w:rsidRPr="006C69B9" w:rsidRDefault="006C69B9" w:rsidP="006C69B9">
      <w:pPr>
        <w:spacing w:after="0"/>
        <w:jc w:val="both"/>
        <w:rPr>
          <w:rFonts w:ascii="Calibri" w:eastAsia="Calibri" w:hAnsi="Calibri" w:cs="Calibri"/>
          <w:lang w:val="bs-Latn-BA"/>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25" w:name="_Toc57573214"/>
      <w:r w:rsidRPr="006C69B9">
        <w:rPr>
          <w:rFonts w:ascii="Calibri" w:eastAsia="Calibri" w:hAnsi="Calibri" w:cs="Times New Roman"/>
          <w:b/>
          <w:bCs/>
          <w:color w:val="4BACC6"/>
          <w:szCs w:val="26"/>
          <w:lang w:val="bs-Latn-BA" w:eastAsia="hr-HR"/>
        </w:rPr>
        <w:t>Analiza obilježja turističke potražnje i potrošnja turista u HNŽ/K</w:t>
      </w:r>
      <w:bookmarkEnd w:id="25"/>
      <w:r w:rsidRPr="006C69B9">
        <w:rPr>
          <w:rFonts w:ascii="Calibri" w:eastAsia="Calibri" w:hAnsi="Calibri" w:cs="Times New Roman"/>
          <w:b/>
          <w:bCs/>
          <w:color w:val="4BACC6"/>
          <w:szCs w:val="26"/>
          <w:lang w:val="bs-Latn-BA" w:eastAsia="hr-HR"/>
        </w:rPr>
        <w:br/>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Za objektivnu ocjenu obilježja turističke potrošnje nužno je imati kvalitetnu analitičku podlogu i odgovarajuće podatke koji se prikupljaju kroz aktivnosti istraživanja tržišta. Zadnje takvo istraživanje koje je obuhvatilo područje HNŽ/K provedeno je 2010. godine i od tada su se obilježja turističkog tržišta sigurno u određenoj mjeri promijenila. Zbog nedostatka novijih podataka za analizu se koriste podaci iz 2010. Za dodatnu analizu trendova koriste se (tamo gdje je to opravdano i moguće) podaci iz sličnog istraživanja koje je 2017. i 2019. provedeno u primorskim županijama u Hrvatskoj (TOMAS ljeto istraživanje), s obzirom da su obilježja turističke potražnje u HNŽ/K slična obilježjima turističke potražnje u susjednim županijama u Republici Hrvatskoj – Splitsko-dalmatinskoj i Dubrovačko-neretvanskoj županiji.  </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Temeljem rezultata istraživanja „TOMAS FBiH 2010 - Stavovi i potrošnja turista u Federaciji BiH“ koje je, osim u Sarajevu, provedeno i u tri najposjećenije destinacije na području HNŽ/K (Mostar, Međugorje, Neum) moguće je dobiti grubu sliku o glavnim obilježjima putovanja, stavovima i potrošnji turista na području HNŽ/K. Prema rezultatima ovoga istraživanja, glavni motivi dolaska turista na područje HNŽ/K su kulturne znamenitosti, kratki odmor u gradu i nova iskustva i doživljaji (Mostar), religiozni razlozi, duhovni rast i razvoj (Međugorje) te odmor i opuštanje, zabava i gastronomija (Neum) (Tabela 42.)</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42</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Glavni motivi dolaska u tri najposjećenije destinacije u HNŽ/K</w:t>
      </w:r>
    </w:p>
    <w:tbl>
      <w:tblPr>
        <w:tblStyle w:val="MediumGrid3-Accent51"/>
        <w:tblW w:w="7385" w:type="dxa"/>
        <w:jc w:val="center"/>
        <w:tblLayout w:type="fixed"/>
        <w:tblLook w:val="06A0"/>
      </w:tblPr>
      <w:tblGrid>
        <w:gridCol w:w="1475"/>
        <w:gridCol w:w="763"/>
        <w:gridCol w:w="266"/>
        <w:gridCol w:w="1604"/>
        <w:gridCol w:w="763"/>
        <w:gridCol w:w="266"/>
        <w:gridCol w:w="1485"/>
        <w:gridCol w:w="763"/>
      </w:tblGrid>
      <w:tr w:rsidR="00F85905" w:rsidRPr="006C69B9" w:rsidTr="006C69B9">
        <w:trPr>
          <w:cnfStyle w:val="100000000000"/>
          <w:trHeight w:val="259"/>
          <w:jc w:val="center"/>
        </w:trPr>
        <w:tc>
          <w:tcPr>
            <w:cnfStyle w:val="001000000000"/>
            <w:tcW w:w="1476"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MOSTAR</w:t>
            </w:r>
          </w:p>
        </w:tc>
        <w:tc>
          <w:tcPr>
            <w:tcW w:w="763"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w:t>
            </w:r>
          </w:p>
        </w:tc>
        <w:tc>
          <w:tcPr>
            <w:tcW w:w="266"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 </w:t>
            </w:r>
          </w:p>
        </w:tc>
        <w:tc>
          <w:tcPr>
            <w:tcW w:w="1604"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MEĐUGORJE</w:t>
            </w:r>
          </w:p>
        </w:tc>
        <w:tc>
          <w:tcPr>
            <w:tcW w:w="763"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w:t>
            </w:r>
          </w:p>
        </w:tc>
        <w:tc>
          <w:tcPr>
            <w:tcW w:w="266"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 </w:t>
            </w:r>
          </w:p>
        </w:tc>
        <w:tc>
          <w:tcPr>
            <w:tcW w:w="1485"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NEUM</w:t>
            </w:r>
          </w:p>
        </w:tc>
        <w:tc>
          <w:tcPr>
            <w:tcW w:w="763" w:type="dxa"/>
            <w:vAlign w:val="center"/>
          </w:tcPr>
          <w:p w:rsidR="006C69B9" w:rsidRPr="006C69B9" w:rsidRDefault="006C69B9" w:rsidP="006C69B9">
            <w:pP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w:t>
            </w:r>
          </w:p>
        </w:tc>
      </w:tr>
      <w:tr w:rsidR="00F85905" w:rsidRPr="006C69B9" w:rsidTr="006C69B9">
        <w:trPr>
          <w:trHeight w:val="259"/>
          <w:jc w:val="center"/>
        </w:trPr>
        <w:tc>
          <w:tcPr>
            <w:cnfStyle w:val="001000000000"/>
            <w:tcW w:w="1476"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Kulturne znamenitosti</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53,4%</w:t>
            </w:r>
          </w:p>
        </w:tc>
        <w:tc>
          <w:tcPr>
            <w:tcW w:w="266"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p>
        </w:tc>
        <w:tc>
          <w:tcPr>
            <w:tcW w:w="1604" w:type="dxa"/>
            <w:shd w:val="clear" w:color="auto" w:fill="4BACC6"/>
            <w:vAlign w:val="center"/>
          </w:tcPr>
          <w:p w:rsidR="006C69B9" w:rsidRPr="006C69B9" w:rsidRDefault="006C69B9" w:rsidP="006C69B9">
            <w:pP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Religiozni motivi</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83,6%</w:t>
            </w:r>
          </w:p>
        </w:tc>
        <w:tc>
          <w:tcPr>
            <w:tcW w:w="266"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p>
        </w:tc>
        <w:tc>
          <w:tcPr>
            <w:tcW w:w="1485" w:type="dxa"/>
            <w:shd w:val="clear" w:color="auto" w:fill="4BACC6"/>
            <w:vAlign w:val="center"/>
          </w:tcPr>
          <w:p w:rsidR="006C69B9" w:rsidRPr="006C69B9" w:rsidRDefault="006C69B9" w:rsidP="006C69B9">
            <w:pPr>
              <w:cnfStyle w:val="000000000000"/>
              <w:rPr>
                <w:rFonts w:ascii="Calibri" w:eastAsia="Calibri" w:hAnsi="Calibri" w:cs="Calibri"/>
                <w:b/>
                <w:bCs/>
                <w:color w:val="FFFFFF"/>
                <w:sz w:val="20"/>
                <w:szCs w:val="20"/>
                <w:lang w:val="bs-Latn-BA"/>
              </w:rPr>
            </w:pPr>
            <w:r w:rsidRPr="006C69B9">
              <w:rPr>
                <w:rFonts w:ascii="Calibri" w:eastAsia="Calibri" w:hAnsi="Calibri" w:cs="Calibri"/>
                <w:b/>
                <w:bCs/>
                <w:color w:val="FFFFFF"/>
                <w:sz w:val="20"/>
                <w:szCs w:val="20"/>
                <w:lang w:val="bs-Latn-BA"/>
              </w:rPr>
              <w:t>Pasivni odmor, opuštanje</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69,2%</w:t>
            </w:r>
          </w:p>
        </w:tc>
      </w:tr>
      <w:tr w:rsidR="00F85905" w:rsidRPr="006C69B9" w:rsidTr="006C69B9">
        <w:trPr>
          <w:trHeight w:val="259"/>
          <w:jc w:val="center"/>
        </w:trPr>
        <w:tc>
          <w:tcPr>
            <w:cnfStyle w:val="001000000000"/>
            <w:tcW w:w="1476"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Kratki odmor u gradu</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31,1%</w:t>
            </w:r>
          </w:p>
        </w:tc>
        <w:tc>
          <w:tcPr>
            <w:tcW w:w="266"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p>
        </w:tc>
        <w:tc>
          <w:tcPr>
            <w:tcW w:w="1604" w:type="dxa"/>
            <w:shd w:val="clear" w:color="auto" w:fill="4BACC6"/>
            <w:vAlign w:val="center"/>
          </w:tcPr>
          <w:p w:rsidR="006C69B9" w:rsidRPr="006C69B9" w:rsidRDefault="006C69B9" w:rsidP="006C69B9">
            <w:pP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Hodočašće</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35,4%</w:t>
            </w:r>
          </w:p>
        </w:tc>
        <w:tc>
          <w:tcPr>
            <w:tcW w:w="266"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p>
        </w:tc>
        <w:tc>
          <w:tcPr>
            <w:tcW w:w="1485" w:type="dxa"/>
            <w:shd w:val="clear" w:color="auto" w:fill="4BACC6"/>
            <w:vAlign w:val="center"/>
          </w:tcPr>
          <w:p w:rsidR="006C69B9" w:rsidRPr="006C69B9" w:rsidRDefault="006C69B9" w:rsidP="006C69B9">
            <w:pPr>
              <w:cnfStyle w:val="000000000000"/>
              <w:rPr>
                <w:rFonts w:ascii="Calibri" w:eastAsia="Calibri" w:hAnsi="Calibri" w:cs="Calibri"/>
                <w:b/>
                <w:bCs/>
                <w:color w:val="FFFFFF"/>
                <w:sz w:val="20"/>
                <w:szCs w:val="20"/>
                <w:lang w:val="bs-Latn-BA"/>
              </w:rPr>
            </w:pPr>
            <w:r w:rsidRPr="006C69B9">
              <w:rPr>
                <w:rFonts w:ascii="Calibri" w:eastAsia="Calibri" w:hAnsi="Calibri" w:cs="Calibri"/>
                <w:b/>
                <w:bCs/>
                <w:color w:val="FFFFFF"/>
                <w:sz w:val="20"/>
                <w:szCs w:val="20"/>
                <w:lang w:val="bs-Latn-BA"/>
              </w:rPr>
              <w:t>Zabava</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45,4%</w:t>
            </w:r>
          </w:p>
        </w:tc>
      </w:tr>
      <w:tr w:rsidR="00F85905" w:rsidRPr="006C69B9" w:rsidTr="006C69B9">
        <w:trPr>
          <w:trHeight w:val="259"/>
          <w:jc w:val="center"/>
        </w:trPr>
        <w:tc>
          <w:tcPr>
            <w:cnfStyle w:val="001000000000"/>
            <w:tcW w:w="1476" w:type="dxa"/>
            <w:vAlign w:val="center"/>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Nova iskustva i doživljaji</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28,2%</w:t>
            </w:r>
          </w:p>
        </w:tc>
        <w:tc>
          <w:tcPr>
            <w:tcW w:w="266"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p>
        </w:tc>
        <w:tc>
          <w:tcPr>
            <w:tcW w:w="1604" w:type="dxa"/>
            <w:shd w:val="clear" w:color="auto" w:fill="4BACC6"/>
            <w:vAlign w:val="center"/>
          </w:tcPr>
          <w:p w:rsidR="006C69B9" w:rsidRPr="006C69B9" w:rsidRDefault="006C69B9" w:rsidP="006C69B9">
            <w:pP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Duhovni razvoj</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32,9%</w:t>
            </w:r>
          </w:p>
        </w:tc>
        <w:tc>
          <w:tcPr>
            <w:tcW w:w="266"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p>
        </w:tc>
        <w:tc>
          <w:tcPr>
            <w:tcW w:w="1485" w:type="dxa"/>
            <w:shd w:val="clear" w:color="auto" w:fill="4BACC6"/>
            <w:vAlign w:val="center"/>
          </w:tcPr>
          <w:p w:rsidR="006C69B9" w:rsidRPr="006C69B9" w:rsidRDefault="006C69B9" w:rsidP="006C69B9">
            <w:pPr>
              <w:cnfStyle w:val="000000000000"/>
              <w:rPr>
                <w:rFonts w:ascii="Calibri" w:eastAsia="Calibri" w:hAnsi="Calibri" w:cs="Calibri"/>
                <w:b/>
                <w:bCs/>
                <w:color w:val="FFFFFF"/>
                <w:sz w:val="20"/>
                <w:szCs w:val="20"/>
                <w:lang w:val="bs-Latn-BA"/>
              </w:rPr>
            </w:pPr>
            <w:r w:rsidRPr="006C69B9">
              <w:rPr>
                <w:rFonts w:ascii="Calibri" w:eastAsia="Calibri" w:hAnsi="Calibri" w:cs="Calibri"/>
                <w:b/>
                <w:bCs/>
                <w:color w:val="FFFFFF"/>
                <w:sz w:val="20"/>
                <w:szCs w:val="20"/>
                <w:lang w:val="bs-Latn-BA"/>
              </w:rPr>
              <w:t>Gastronomija</w:t>
            </w:r>
          </w:p>
        </w:tc>
        <w:tc>
          <w:tcPr>
            <w:tcW w:w="763" w:type="dxa"/>
            <w:vAlign w:val="center"/>
          </w:tcPr>
          <w:p w:rsidR="006C69B9" w:rsidRPr="006C69B9" w:rsidRDefault="006C69B9" w:rsidP="006C69B9">
            <w:pP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23,7%</w:t>
            </w:r>
          </w:p>
        </w:tc>
      </w:tr>
    </w:tbl>
    <w:p w:rsidR="006C69B9" w:rsidRPr="006C69B9" w:rsidRDefault="006C69B9" w:rsidP="006C69B9">
      <w:pPr>
        <w:spacing w:after="0"/>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TOMAS FBiH 2010. – Stavovi i potrošnja turista u FBiH – pilot istraživanje</w:t>
      </w:r>
    </w:p>
    <w:p w:rsidR="006C69B9" w:rsidRPr="006C69B9" w:rsidRDefault="006C69B9" w:rsidP="006C69B9">
      <w:pPr>
        <w:jc w:val="both"/>
        <w:rPr>
          <w:rFonts w:ascii="Calibri" w:eastAsia="Calibri" w:hAnsi="Calibri" w:cs="Times New Roman"/>
          <w:b/>
          <w:i/>
          <w:sz w:val="18"/>
          <w:szCs w:val="18"/>
          <w:lang w:val="bs-Latn-BA"/>
        </w:rPr>
      </w:pPr>
    </w:p>
    <w:p w:rsidR="006C69B9" w:rsidRPr="006C69B9" w:rsidRDefault="006C69B9" w:rsidP="006C69B9">
      <w:pPr>
        <w:spacing w:after="0"/>
        <w:jc w:val="both"/>
        <w:rPr>
          <w:rFonts w:ascii="Calibri" w:eastAsia="Calibri" w:hAnsi="Calibri" w:cs="Calibri"/>
          <w:lang w:val="bs-Latn-BA"/>
        </w:rPr>
      </w:pPr>
      <w:r w:rsidRPr="006C69B9">
        <w:rPr>
          <w:rFonts w:ascii="Calibri" w:eastAsia="Calibri" w:hAnsi="Calibri" w:cs="Calibri"/>
          <w:lang w:val="bs-Latn-BA"/>
        </w:rPr>
        <w:t xml:space="preserve">Za očekivati je da se ovdje nisu dogodile veće promjene u odnosu na 2010. godinu, odnosno logično je pretpostaviti da su glavni motivi dolaska u Mostar i </w:t>
      </w:r>
      <w:r w:rsidRPr="006C69B9">
        <w:rPr>
          <w:rFonts w:ascii="Calibri" w:eastAsia="Calibri" w:hAnsi="Calibri" w:cs="Calibri"/>
          <w:b/>
          <w:lang w:val="bs-Latn-BA"/>
        </w:rPr>
        <w:t>dalje kulturne znamenitosti i kratki odmor u gradu (tzv. „city break“), dok su glavni motivi dolaska u Međugorje religiozni motivi a u Neum pasivni odmor i opuštanje, odnosno sunce i more</w:t>
      </w:r>
      <w:r w:rsidRPr="006C69B9">
        <w:rPr>
          <w:rFonts w:ascii="Calibri" w:eastAsia="Calibri" w:hAnsi="Calibri" w:cs="Calibri"/>
          <w:lang w:val="bs-Latn-BA"/>
        </w:rPr>
        <w:t xml:space="preserve">. </w:t>
      </w:r>
    </w:p>
    <w:p w:rsidR="006C69B9" w:rsidRPr="006C69B9" w:rsidRDefault="006C69B9" w:rsidP="006C69B9">
      <w:pPr>
        <w:spacing w:after="0"/>
        <w:jc w:val="both"/>
        <w:rPr>
          <w:rFonts w:ascii="Calibri" w:eastAsia="Calibri" w:hAnsi="Calibri" w:cs="Calibri"/>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 xml:space="preserve">Glavni izvori informacija za turiste koji borave na području HNŽ/K su preporuke rodbine i prijatelja, prethodni posjeti, Internet te tiskani i elektronski mediji. Turisti na području HNŽ/K većinom su srednje životne dobi (40-45 godina),  visoko su obrazovani (2/3 njih ima završenu višu ili visoku školu), većinom dolaze osobnim automobilom te su im mjesečni prihodi kućanstva veći od 2 tisuće EUR. Za razliku od Međugorja i Neuma, čiji su posjetitelji izrazito vjerni (94% turista su Međugorje i 84% turista su Neum posjetili više puta) posjetitelji Mostara su manje vjerni destinaciji koju posjećuju (polovica anketiranih turista je bila prvi put u posjetu Mostaru). </w:t>
      </w:r>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lastRenderedPageBreak/>
        <w:t xml:space="preserve">Temeljem obilježja turističke potražnje u susjednim hrvatskim županijama može se zaključiti da i u HNŽ/K </w:t>
      </w:r>
      <w:r w:rsidRPr="006C69B9">
        <w:rPr>
          <w:rFonts w:ascii="Calibri" w:eastAsia="Calibri" w:hAnsi="Calibri" w:cs="Calibri"/>
          <w:b/>
          <w:lang w:val="bs-Latn-BA"/>
        </w:rPr>
        <w:t>raste značaj interneta kao izvora informacija o destinaciji</w:t>
      </w:r>
      <w:r w:rsidRPr="006C69B9">
        <w:rPr>
          <w:rFonts w:ascii="Calibri" w:eastAsia="Calibri" w:hAnsi="Calibri" w:cs="Calibri"/>
          <w:lang w:val="bs-Latn-BA"/>
        </w:rPr>
        <w:t xml:space="preserve">. Također raste udio visokoobrazovanih turista te posljedično turista s višom razinom prihoda, raste udio turista mlađe životne dobi koje na putuju s obitelji nego s partnerom, te je sve veći udio turista koji tijekom svoga putovanja posjete više turističkih destinacija. </w:t>
      </w:r>
      <w:bookmarkStart w:id="26" w:name="_heading=h.1ksv4uv" w:colFirst="0" w:colLast="0"/>
      <w:bookmarkEnd w:id="26"/>
    </w:p>
    <w:p w:rsidR="006C69B9" w:rsidRPr="006C69B9" w:rsidRDefault="006C69B9" w:rsidP="006C69B9">
      <w:pPr>
        <w:spacing w:after="0" w:line="276" w:lineRule="auto"/>
        <w:jc w:val="both"/>
        <w:rPr>
          <w:rFonts w:ascii="Calibri" w:eastAsia="Calibri" w:hAnsi="Calibri" w:cs="Calibri"/>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43</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Prosječni dnevni izdaci turista u tri najposjećenije destinacije u HNŽ/K</w:t>
      </w:r>
    </w:p>
    <w:tbl>
      <w:tblPr>
        <w:tblStyle w:val="MediumGrid3-Accent51"/>
        <w:tblW w:w="8097" w:type="dxa"/>
        <w:jc w:val="center"/>
        <w:tblLayout w:type="fixed"/>
        <w:tblLook w:val="06E0"/>
      </w:tblPr>
      <w:tblGrid>
        <w:gridCol w:w="2020"/>
        <w:gridCol w:w="1196"/>
        <w:gridCol w:w="1209"/>
        <w:gridCol w:w="842"/>
        <w:gridCol w:w="862"/>
        <w:gridCol w:w="1209"/>
        <w:gridCol w:w="759"/>
      </w:tblGrid>
      <w:tr w:rsidR="00F85905" w:rsidRPr="006C69B9" w:rsidTr="006C69B9">
        <w:trPr>
          <w:cnfStyle w:val="100000000000"/>
          <w:trHeight w:val="300"/>
          <w:jc w:val="center"/>
        </w:trPr>
        <w:tc>
          <w:tcPr>
            <w:cnfStyle w:val="001000000000"/>
            <w:tcW w:w="2020" w:type="dxa"/>
            <w:vMerge w:val="restart"/>
            <w:vAlign w:val="center"/>
          </w:tcPr>
          <w:p w:rsidR="006C69B9" w:rsidRPr="006C69B9" w:rsidRDefault="006C69B9" w:rsidP="006C69B9">
            <w:pPr>
              <w:jc w:val="center"/>
              <w:rPr>
                <w:rFonts w:ascii="Calibri" w:eastAsia="Calibri" w:hAnsi="Calibri" w:cs="Calibri"/>
                <w:sz w:val="20"/>
                <w:szCs w:val="20"/>
                <w:lang w:val="bs-Latn-BA"/>
              </w:rPr>
            </w:pPr>
            <w:r w:rsidRPr="006C69B9">
              <w:rPr>
                <w:rFonts w:ascii="Calibri" w:eastAsia="Calibri" w:hAnsi="Calibri" w:cs="Calibri"/>
                <w:sz w:val="20"/>
                <w:szCs w:val="20"/>
                <w:lang w:val="bs-Latn-BA"/>
              </w:rPr>
              <w:t>Vrsta usluge</w:t>
            </w:r>
          </w:p>
        </w:tc>
        <w:tc>
          <w:tcPr>
            <w:tcW w:w="3247" w:type="dxa"/>
            <w:gridSpan w:val="3"/>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U EUR</w:t>
            </w:r>
          </w:p>
        </w:tc>
        <w:tc>
          <w:tcPr>
            <w:tcW w:w="2830" w:type="dxa"/>
            <w:gridSpan w:val="3"/>
            <w:vAlign w:val="center"/>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U %</w:t>
            </w:r>
          </w:p>
        </w:tc>
      </w:tr>
      <w:tr w:rsidR="00F85905" w:rsidRPr="006C69B9" w:rsidTr="006C69B9">
        <w:trPr>
          <w:trHeight w:val="300"/>
          <w:jc w:val="center"/>
        </w:trPr>
        <w:tc>
          <w:tcPr>
            <w:cnfStyle w:val="001000000000"/>
            <w:tcW w:w="2020" w:type="dxa"/>
            <w:vMerge/>
            <w:vAlign w:val="center"/>
          </w:tcPr>
          <w:p w:rsidR="006C69B9" w:rsidRPr="006C69B9" w:rsidRDefault="006C69B9" w:rsidP="006C69B9">
            <w:pPr>
              <w:widowControl w:val="0"/>
              <w:pBdr>
                <w:top w:val="nil"/>
                <w:left w:val="nil"/>
                <w:bottom w:val="nil"/>
                <w:right w:val="nil"/>
                <w:between w:val="nil"/>
              </w:pBdr>
              <w:spacing w:line="276" w:lineRule="auto"/>
              <w:jc w:val="center"/>
              <w:rPr>
                <w:rFonts w:ascii="Calibri" w:eastAsia="Calibri" w:hAnsi="Calibri" w:cs="Calibri"/>
                <w:sz w:val="20"/>
                <w:szCs w:val="20"/>
                <w:lang w:val="bs-Latn-BA"/>
              </w:rPr>
            </w:pPr>
          </w:p>
        </w:tc>
        <w:tc>
          <w:tcPr>
            <w:tcW w:w="1196" w:type="dxa"/>
            <w:shd w:val="clear" w:color="auto" w:fill="4BACC6"/>
            <w:vAlign w:val="center"/>
          </w:tcPr>
          <w:p w:rsidR="006C69B9" w:rsidRPr="006C69B9" w:rsidRDefault="006C69B9" w:rsidP="006C69B9">
            <w:pPr>
              <w:jc w:val="cente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Mostar</w:t>
            </w:r>
          </w:p>
        </w:tc>
        <w:tc>
          <w:tcPr>
            <w:tcW w:w="1209" w:type="dxa"/>
            <w:shd w:val="clear" w:color="auto" w:fill="4BACC6"/>
            <w:vAlign w:val="center"/>
          </w:tcPr>
          <w:p w:rsidR="006C69B9" w:rsidRPr="006C69B9" w:rsidRDefault="006C69B9" w:rsidP="006C69B9">
            <w:pPr>
              <w:jc w:val="cente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Međugorje</w:t>
            </w:r>
          </w:p>
        </w:tc>
        <w:tc>
          <w:tcPr>
            <w:tcW w:w="842" w:type="dxa"/>
            <w:shd w:val="clear" w:color="auto" w:fill="4BACC6"/>
            <w:vAlign w:val="center"/>
          </w:tcPr>
          <w:p w:rsidR="006C69B9" w:rsidRPr="006C69B9" w:rsidRDefault="006C69B9" w:rsidP="006C69B9">
            <w:pPr>
              <w:jc w:val="cente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Neum</w:t>
            </w:r>
          </w:p>
        </w:tc>
        <w:tc>
          <w:tcPr>
            <w:tcW w:w="862" w:type="dxa"/>
            <w:shd w:val="clear" w:color="auto" w:fill="4BACC6"/>
            <w:vAlign w:val="center"/>
          </w:tcPr>
          <w:p w:rsidR="006C69B9" w:rsidRPr="006C69B9" w:rsidRDefault="006C69B9" w:rsidP="006C69B9">
            <w:pPr>
              <w:jc w:val="cente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Mostar</w:t>
            </w:r>
          </w:p>
        </w:tc>
        <w:tc>
          <w:tcPr>
            <w:tcW w:w="1209" w:type="dxa"/>
            <w:shd w:val="clear" w:color="auto" w:fill="4BACC6"/>
            <w:vAlign w:val="center"/>
          </w:tcPr>
          <w:p w:rsidR="006C69B9" w:rsidRPr="006C69B9" w:rsidRDefault="006C69B9" w:rsidP="006C69B9">
            <w:pPr>
              <w:jc w:val="cente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Međugorje</w:t>
            </w:r>
          </w:p>
        </w:tc>
        <w:tc>
          <w:tcPr>
            <w:tcW w:w="759" w:type="dxa"/>
            <w:shd w:val="clear" w:color="auto" w:fill="4BACC6"/>
            <w:vAlign w:val="center"/>
          </w:tcPr>
          <w:p w:rsidR="006C69B9" w:rsidRPr="006C69B9" w:rsidRDefault="006C69B9" w:rsidP="006C69B9">
            <w:pPr>
              <w:jc w:val="center"/>
              <w:cnfStyle w:val="000000000000"/>
              <w:rPr>
                <w:rFonts w:ascii="Calibri" w:eastAsia="Calibri" w:hAnsi="Calibri" w:cs="Calibri"/>
                <w:b/>
                <w:color w:val="FFFFFF"/>
                <w:sz w:val="20"/>
                <w:szCs w:val="20"/>
                <w:lang w:val="bs-Latn-BA"/>
              </w:rPr>
            </w:pPr>
            <w:r w:rsidRPr="006C69B9">
              <w:rPr>
                <w:rFonts w:ascii="Calibri" w:eastAsia="Calibri" w:hAnsi="Calibri" w:cs="Calibri"/>
                <w:b/>
                <w:color w:val="FFFFFF"/>
                <w:sz w:val="20"/>
                <w:szCs w:val="20"/>
                <w:lang w:val="bs-Latn-BA"/>
              </w:rPr>
              <w:t>Neum</w:t>
            </w:r>
          </w:p>
        </w:tc>
      </w:tr>
      <w:tr w:rsidR="00F85905" w:rsidRPr="006C69B9" w:rsidTr="006C69B9">
        <w:trPr>
          <w:trHeight w:val="300"/>
          <w:jc w:val="center"/>
        </w:trPr>
        <w:tc>
          <w:tcPr>
            <w:cnfStyle w:val="001000000000"/>
            <w:tcW w:w="202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Smještaj</w:t>
            </w:r>
          </w:p>
        </w:tc>
        <w:tc>
          <w:tcPr>
            <w:tcW w:w="1196"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42,06</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30,77</w:t>
            </w:r>
          </w:p>
        </w:tc>
        <w:tc>
          <w:tcPr>
            <w:tcW w:w="84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23,6</w:t>
            </w:r>
          </w:p>
        </w:tc>
        <w:tc>
          <w:tcPr>
            <w:tcW w:w="86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57,2</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50,7</w:t>
            </w:r>
          </w:p>
        </w:tc>
        <w:tc>
          <w:tcPr>
            <w:tcW w:w="75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54,6</w:t>
            </w:r>
          </w:p>
        </w:tc>
      </w:tr>
      <w:tr w:rsidR="00F85905" w:rsidRPr="006C69B9" w:rsidTr="006C69B9">
        <w:trPr>
          <w:trHeight w:val="300"/>
          <w:jc w:val="center"/>
        </w:trPr>
        <w:tc>
          <w:tcPr>
            <w:cnfStyle w:val="001000000000"/>
            <w:tcW w:w="202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Ugostiteljske usluge</w:t>
            </w:r>
          </w:p>
        </w:tc>
        <w:tc>
          <w:tcPr>
            <w:tcW w:w="1196"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12,7</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12,1</w:t>
            </w:r>
          </w:p>
        </w:tc>
        <w:tc>
          <w:tcPr>
            <w:tcW w:w="84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8,26</w:t>
            </w:r>
          </w:p>
        </w:tc>
        <w:tc>
          <w:tcPr>
            <w:tcW w:w="86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17,3</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19,9</w:t>
            </w:r>
          </w:p>
        </w:tc>
        <w:tc>
          <w:tcPr>
            <w:tcW w:w="75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19,1</w:t>
            </w:r>
          </w:p>
        </w:tc>
      </w:tr>
      <w:tr w:rsidR="00F85905" w:rsidRPr="006C69B9" w:rsidTr="006C69B9">
        <w:trPr>
          <w:trHeight w:val="300"/>
          <w:jc w:val="center"/>
        </w:trPr>
        <w:tc>
          <w:tcPr>
            <w:cnfStyle w:val="001000000000"/>
            <w:tcW w:w="202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Kupnja</w:t>
            </w:r>
          </w:p>
        </w:tc>
        <w:tc>
          <w:tcPr>
            <w:tcW w:w="1196"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12,76</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10,58</w:t>
            </w:r>
          </w:p>
        </w:tc>
        <w:tc>
          <w:tcPr>
            <w:tcW w:w="84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5,19</w:t>
            </w:r>
          </w:p>
        </w:tc>
        <w:tc>
          <w:tcPr>
            <w:tcW w:w="86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17,3</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17,4</w:t>
            </w:r>
          </w:p>
        </w:tc>
        <w:tc>
          <w:tcPr>
            <w:tcW w:w="75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12,0</w:t>
            </w:r>
          </w:p>
        </w:tc>
      </w:tr>
      <w:tr w:rsidR="00F85905" w:rsidRPr="006C69B9" w:rsidTr="006C69B9">
        <w:trPr>
          <w:trHeight w:val="300"/>
          <w:jc w:val="center"/>
        </w:trPr>
        <w:tc>
          <w:tcPr>
            <w:cnfStyle w:val="001000000000"/>
            <w:tcW w:w="202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Ostalo</w:t>
            </w:r>
          </w:p>
        </w:tc>
        <w:tc>
          <w:tcPr>
            <w:tcW w:w="1196"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6,04</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7,22</w:t>
            </w:r>
          </w:p>
        </w:tc>
        <w:tc>
          <w:tcPr>
            <w:tcW w:w="84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6,15</w:t>
            </w:r>
          </w:p>
        </w:tc>
        <w:tc>
          <w:tcPr>
            <w:tcW w:w="862"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8,2</w:t>
            </w:r>
          </w:p>
        </w:tc>
        <w:tc>
          <w:tcPr>
            <w:tcW w:w="120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11,9</w:t>
            </w:r>
          </w:p>
        </w:tc>
        <w:tc>
          <w:tcPr>
            <w:tcW w:w="759" w:type="dxa"/>
          </w:tcPr>
          <w:p w:rsidR="006C69B9" w:rsidRPr="006C69B9" w:rsidRDefault="006C69B9" w:rsidP="006C69B9">
            <w:pPr>
              <w:jc w:val="right"/>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14,2</w:t>
            </w:r>
          </w:p>
        </w:tc>
      </w:tr>
      <w:tr w:rsidR="00F85905" w:rsidRPr="006C69B9" w:rsidTr="006C69B9">
        <w:trPr>
          <w:cnfStyle w:val="010000000000"/>
          <w:trHeight w:val="300"/>
          <w:jc w:val="center"/>
        </w:trPr>
        <w:tc>
          <w:tcPr>
            <w:cnfStyle w:val="001000000000"/>
            <w:tcW w:w="2020"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Ukupno</w:t>
            </w:r>
          </w:p>
        </w:tc>
        <w:tc>
          <w:tcPr>
            <w:tcW w:w="1196"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73,56</w:t>
            </w:r>
          </w:p>
        </w:tc>
        <w:tc>
          <w:tcPr>
            <w:tcW w:w="1209"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60,67</w:t>
            </w:r>
          </w:p>
        </w:tc>
        <w:tc>
          <w:tcPr>
            <w:tcW w:w="842"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43,2</w:t>
            </w:r>
          </w:p>
        </w:tc>
        <w:tc>
          <w:tcPr>
            <w:tcW w:w="862"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w:t>
            </w:r>
          </w:p>
        </w:tc>
        <w:tc>
          <w:tcPr>
            <w:tcW w:w="1209"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w:t>
            </w:r>
          </w:p>
        </w:tc>
        <w:tc>
          <w:tcPr>
            <w:tcW w:w="759" w:type="dxa"/>
          </w:tcPr>
          <w:p w:rsidR="006C69B9" w:rsidRPr="006C69B9" w:rsidRDefault="006C69B9" w:rsidP="006C69B9">
            <w:pPr>
              <w:jc w:val="right"/>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100,0</w:t>
            </w:r>
          </w:p>
        </w:tc>
      </w:tr>
    </w:tbl>
    <w:p w:rsidR="006C69B9" w:rsidRPr="006C69B9" w:rsidRDefault="006C69B9" w:rsidP="006C69B9">
      <w:pPr>
        <w:spacing w:after="0"/>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TOMAS FBiH 2010. – Stavovi i potrošnja turista u FBiH – pilot istraživanje</w:t>
      </w:r>
    </w:p>
    <w:p w:rsidR="006C69B9" w:rsidRPr="006C69B9" w:rsidRDefault="006C69B9" w:rsidP="006C69B9">
      <w:pPr>
        <w:spacing w:after="0"/>
        <w:jc w:val="both"/>
        <w:rPr>
          <w:rFonts w:ascii="Calibri" w:eastAsia="Calibri" w:hAnsi="Calibri" w:cs="Times New Roman"/>
          <w:b/>
          <w:i/>
          <w:sz w:val="18"/>
          <w:szCs w:val="18"/>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Od elemenata turističke ponuda u destinaciji, turisti na području HNŽ/K su najzadovoljniji s ljepotom prirode i krajolika, ljubaznošću lokalnog stanovništva, ljubaznošću osoblja u smještajnim objektima i osobnom sigurnosti. S druge strane, najmanje su zadovoljni sadržajima u destinaciji, kvalitetom javnog prijevoza, mogućnošću za parkiranje, čistoćom i uređenosti destinacija, dok su turisti u Neumu dodatno nezadovoljni čistoćom i opremljenošću/uređenošću plaža. Prosječni dnevni izdaci turista na području HNŽ/K su, prema rezultatima ovoga istraživanja, iznosili oko 60 EUR, pri čemu najviše otpada na izdatke za smještaj (50%-60%).</w:t>
      </w:r>
    </w:p>
    <w:p w:rsidR="006C69B9" w:rsidRPr="006C69B9" w:rsidRDefault="006C69B9" w:rsidP="006C69B9">
      <w:pPr>
        <w:spacing w:after="0"/>
        <w:jc w:val="both"/>
        <w:rPr>
          <w:rFonts w:ascii="Calibri" w:eastAsia="Calibri" w:hAnsi="Calibri" w:cs="Calibri"/>
          <w:lang w:val="bs-Latn-BA"/>
        </w:rPr>
      </w:pPr>
    </w:p>
    <w:p w:rsidR="006C69B9" w:rsidRPr="006C69B9" w:rsidRDefault="006C69B9" w:rsidP="006C69B9">
      <w:pPr>
        <w:spacing w:after="0" w:line="276" w:lineRule="auto"/>
        <w:jc w:val="both"/>
        <w:rPr>
          <w:rFonts w:ascii="Calibri" w:eastAsia="Calibri" w:hAnsi="Calibri" w:cs="Calibri"/>
          <w:lang w:val="bs-Latn-BA"/>
        </w:rPr>
      </w:pPr>
      <w:r w:rsidRPr="006C69B9">
        <w:rPr>
          <w:rFonts w:ascii="Calibri" w:eastAsia="Calibri" w:hAnsi="Calibri" w:cs="Calibri"/>
          <w:lang w:val="bs-Latn-BA"/>
        </w:rPr>
        <w:t>Kada je riječ o potrošnji turista, odnosno o prosječnim dnevnim izdacima, podaci iz susjednih županija u RH pokazuju da se ona u zadnjih 10 godina skoro udvostručila (s 58 EUR 2010 na 98 EUR 2019. godine). Stoga je razumno pretpostaviti i da su se prosječni dnevni izdaci na području HNŽ/K u zadnjih deset godina povećali za 40-50%, i da trenutno iznose 80-90 EUR. Kada je riječ o strukturi prosječnih dnevnih izdataka, onda je logično pretpostaviti da padaju izdaci za smještaj a da rastu izdaci za ugostiteljske usluge i ostale sadržaja vanpansionske ponude. Međutim, treba naglasiti da je točan iznos i strukturu turističke potrošnje u HNŽ/K teško je procijeniti bez provođenja istraživanja turističkog tržišta.</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val="bs-Latn-BA" w:eastAsia="hr-HR"/>
        </w:rPr>
      </w:pPr>
      <w:bookmarkStart w:id="27" w:name="_heading=h.44sinio" w:colFirst="0" w:colLast="0"/>
      <w:bookmarkStart w:id="28" w:name="_heading=h.2jxsxqh" w:colFirst="0" w:colLast="0"/>
      <w:bookmarkStart w:id="29" w:name="_Toc57573216"/>
      <w:bookmarkEnd w:id="27"/>
      <w:bookmarkEnd w:id="28"/>
      <w:r w:rsidRPr="006C69B9">
        <w:rPr>
          <w:rFonts w:ascii="Calibri" w:eastAsia="Calibri" w:hAnsi="Calibri" w:cs="Times New Roman"/>
          <w:b/>
          <w:bCs/>
          <w:iCs/>
          <w:color w:val="31849B"/>
          <w:sz w:val="24"/>
          <w:szCs w:val="28"/>
          <w:lang w:eastAsia="hr-HR"/>
        </w:rPr>
        <w:t>Pregled stanja i kretanja na tržištu rada</w:t>
      </w:r>
      <w:bookmarkEnd w:id="29"/>
      <w:r w:rsidRPr="006C69B9">
        <w:rPr>
          <w:rFonts w:ascii="Calibri" w:eastAsia="Calibri" w:hAnsi="Calibri" w:cs="Times New Roman"/>
          <w:b/>
          <w:bCs/>
          <w:iCs/>
          <w:color w:val="31849B"/>
          <w:sz w:val="24"/>
          <w:szCs w:val="28"/>
          <w:lang w:eastAsia="hr-HR"/>
        </w:rPr>
        <w:t xml:space="preserve"> </w:t>
      </w:r>
    </w:p>
    <w:p w:rsidR="006C69B9" w:rsidRPr="006C69B9" w:rsidRDefault="006C69B9" w:rsidP="006C69B9">
      <w:pPr>
        <w:jc w:val="both"/>
        <w:rPr>
          <w:rFonts w:ascii="Calibri" w:eastAsia="Calibri" w:hAnsi="Calibri" w:cs="Calibri"/>
          <w:lang w:val="bs-Latn-BA" w:eastAsia="bs-Latn-BA"/>
        </w:rPr>
      </w:pPr>
      <w:r w:rsidRPr="006C69B9">
        <w:rPr>
          <w:rFonts w:ascii="Calibri" w:eastAsia="Calibri" w:hAnsi="Calibri" w:cs="Times New Roman"/>
          <w:b/>
          <w:lang w:val="bs-Latn-BA" w:eastAsia="hr-HR"/>
        </w:rPr>
        <w:t>Zaposlenost.</w:t>
      </w:r>
      <w:r w:rsidRPr="006C69B9">
        <w:rPr>
          <w:rFonts w:ascii="Calibri" w:eastAsia="Calibri" w:hAnsi="Calibri" w:cs="Times New Roman"/>
          <w:lang w:val="bs-Latn-BA" w:eastAsia="hr-HR"/>
        </w:rPr>
        <w:t xml:space="preserve"> Prema podacima Federalnog zavoda za programiranje razvoja u 2019. godini radno sposobno stanovništvo u Hercegovačko-neretvanskom kantonu broji 148.293 osobe. </w:t>
      </w:r>
      <w:r w:rsidRPr="006C69B9">
        <w:rPr>
          <w:rFonts w:ascii="Calibri" w:eastAsia="Calibri" w:hAnsi="Calibri" w:cs="Calibri"/>
          <w:lang w:val="bs-Latn-BA" w:eastAsia="bs-Latn-BA"/>
        </w:rPr>
        <w:t xml:space="preserve">Na području </w:t>
      </w:r>
      <w:r w:rsidRPr="006C69B9">
        <w:rPr>
          <w:rFonts w:ascii="Calibri" w:eastAsia="Calibri" w:hAnsi="Calibri" w:cs="Times New Roman"/>
          <w:lang w:val="bs-Latn-BA" w:eastAsia="hr-HR"/>
        </w:rPr>
        <w:t xml:space="preserve">Hercegovačko-neretvanskom kantonu </w:t>
      </w:r>
      <w:r w:rsidRPr="006C69B9">
        <w:rPr>
          <w:rFonts w:ascii="Calibri" w:eastAsia="Calibri" w:hAnsi="Calibri" w:cs="Calibri"/>
          <w:lang w:val="bs-Latn-BA" w:eastAsia="bs-Latn-BA"/>
        </w:rPr>
        <w:t>je tokom 2019. godine evidentirano u prosjeku 55.213 zaposlenih lica, što rezultira stopom zaposlenosti od 37,2%, što je iznad  prosječne stope zaposlenosti u istoj godini u Federaciji BiH koja je iznosila 34,8%.</w:t>
      </w:r>
    </w:p>
    <w:p w:rsidR="006C69B9" w:rsidRPr="006C69B9" w:rsidRDefault="006C69B9" w:rsidP="006C69B9">
      <w:pPr>
        <w:jc w:val="both"/>
        <w:rPr>
          <w:rFonts w:ascii="Calibri" w:eastAsia="Calibri" w:hAnsi="Calibri" w:cs="Calibri"/>
          <w:lang w:val="bs-Latn-BA" w:eastAsia="bs-Latn-BA"/>
        </w:rPr>
      </w:pPr>
      <w:r w:rsidRPr="006C69B9">
        <w:rPr>
          <w:rFonts w:ascii="Calibri" w:eastAsia="Calibri" w:hAnsi="Calibri" w:cs="Calibri"/>
          <w:lang w:val="bs-Latn-BA" w:eastAsia="bs-Latn-BA"/>
        </w:rPr>
        <w:t xml:space="preserve">Međutim, kada se posmatra stopa zaposlenosti po općinama Hercegovačko-neretvanskog kantona primjećuje se neujednačena stopa zaposlenosti koja varira od 47,61 % (Grad Mostar) i 46,51% (Čitluk) do 7,53% (Ravno) i 13,45% (Stolac). </w:t>
      </w:r>
    </w:p>
    <w:p w:rsidR="006C69B9" w:rsidRPr="006C69B9" w:rsidRDefault="006C69B9" w:rsidP="006C69B9">
      <w:pPr>
        <w:keepNext/>
        <w:spacing w:after="80" w:line="240" w:lineRule="auto"/>
        <w:jc w:val="center"/>
        <w:rPr>
          <w:rFonts w:ascii="Calibri" w:eastAsia="Calibri" w:hAnsi="Calibri" w:cs="Calibri"/>
          <w:bCs/>
          <w:i/>
          <w:color w:val="31849B"/>
          <w:sz w:val="20"/>
          <w:lang w:eastAsia="bs-Latn-BA"/>
        </w:rPr>
      </w:pPr>
      <w:r w:rsidRPr="006C69B9">
        <w:rPr>
          <w:rFonts w:ascii="Calibri" w:eastAsia="Calibri" w:hAnsi="Calibri" w:cs="Calibri Light"/>
          <w:bCs/>
          <w:i/>
          <w:color w:val="31849B"/>
          <w:sz w:val="20"/>
        </w:rPr>
        <w:t>Tabela 44 Stopa zaposlenosti stanovništva po općinama Hercegovačko neretvanskog kantona u 2019 god</w:t>
      </w:r>
    </w:p>
    <w:tbl>
      <w:tblPr>
        <w:tblStyle w:val="MediumGrid3-Accent51"/>
        <w:tblW w:w="7054" w:type="dxa"/>
        <w:jc w:val="center"/>
        <w:tblLook w:val="06E0"/>
      </w:tblPr>
      <w:tblGrid>
        <w:gridCol w:w="2518"/>
        <w:gridCol w:w="1559"/>
        <w:gridCol w:w="1560"/>
        <w:gridCol w:w="1417"/>
      </w:tblGrid>
      <w:tr w:rsidR="00F85905" w:rsidRPr="006C69B9" w:rsidTr="006C69B9">
        <w:trPr>
          <w:cnfStyle w:val="100000000000"/>
          <w:trHeight w:val="484"/>
          <w:jc w:val="center"/>
        </w:trPr>
        <w:tc>
          <w:tcPr>
            <w:cnfStyle w:val="001000000000"/>
            <w:tcW w:w="2518" w:type="dxa"/>
            <w:noWrap/>
            <w:vAlign w:val="center"/>
            <w:hideMark/>
          </w:tcPr>
          <w:p w:rsidR="006C69B9" w:rsidRPr="006C69B9" w:rsidRDefault="006C69B9" w:rsidP="006C69B9">
            <w:pPr>
              <w:jc w:val="center"/>
              <w:rPr>
                <w:rFonts w:ascii="Calibri" w:eastAsia="Times New Roman" w:hAnsi="Calibri" w:cs="Calibri"/>
              </w:rPr>
            </w:pPr>
            <w:r w:rsidRPr="006C69B9">
              <w:rPr>
                <w:rFonts w:ascii="Calibri" w:eastAsia="Times New Roman" w:hAnsi="Calibri" w:cs="Calibri"/>
              </w:rPr>
              <w:t>Općine u HNK</w:t>
            </w:r>
          </w:p>
        </w:tc>
        <w:tc>
          <w:tcPr>
            <w:tcW w:w="1559"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Broj zaposlenih</w:t>
            </w:r>
          </w:p>
        </w:tc>
        <w:tc>
          <w:tcPr>
            <w:tcW w:w="1560"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Radno sposobno stanovništvo</w:t>
            </w:r>
          </w:p>
        </w:tc>
        <w:tc>
          <w:tcPr>
            <w:tcW w:w="1417" w:type="dxa"/>
            <w:vAlign w:val="center"/>
            <w:hideMark/>
          </w:tcPr>
          <w:p w:rsidR="006C69B9" w:rsidRPr="006C69B9" w:rsidRDefault="006C69B9" w:rsidP="006C69B9">
            <w:pPr>
              <w:jc w:val="center"/>
              <w:cnfStyle w:val="100000000000"/>
              <w:rPr>
                <w:rFonts w:ascii="Calibri" w:eastAsia="Times New Roman" w:hAnsi="Calibri" w:cs="Calibri"/>
                <w:sz w:val="18"/>
                <w:szCs w:val="18"/>
              </w:rPr>
            </w:pPr>
            <w:r w:rsidRPr="006C69B9">
              <w:rPr>
                <w:rFonts w:ascii="Calibri" w:eastAsia="Times New Roman" w:hAnsi="Calibri" w:cs="Calibri"/>
                <w:sz w:val="18"/>
                <w:szCs w:val="18"/>
              </w:rPr>
              <w:t>Stopa zaposlenosti</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Grad Čapljina</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3.596</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16.879</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21,30%</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lastRenderedPageBreak/>
              <w:t xml:space="preserve">Čitluk </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5.685</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12.223</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46,51%</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Jablanica</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2.039</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6.830</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29,85%</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Konjic</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5.920</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16.407</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36,08%</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Grad Mostar</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33.929</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71.257</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47,61%</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Neum</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1.119</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3.019</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37,07%</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Prozor</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1.431</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9.640</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14,84%</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 xml:space="preserve">Stolac </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1.335</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9.926</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13.45%</w:t>
            </w:r>
          </w:p>
        </w:tc>
      </w:tr>
      <w:tr w:rsidR="00F85905" w:rsidRPr="006C69B9" w:rsidTr="006C69B9">
        <w:trPr>
          <w:trHeight w:val="300"/>
          <w:jc w:val="center"/>
        </w:trPr>
        <w:tc>
          <w:tcPr>
            <w:cnfStyle w:val="001000000000"/>
            <w:tcW w:w="2518"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Ravno</w:t>
            </w:r>
          </w:p>
        </w:tc>
        <w:tc>
          <w:tcPr>
            <w:tcW w:w="1559"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159</w:t>
            </w:r>
          </w:p>
        </w:tc>
        <w:tc>
          <w:tcPr>
            <w:tcW w:w="1560"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 xml:space="preserve">2.112     </w:t>
            </w:r>
          </w:p>
        </w:tc>
        <w:tc>
          <w:tcPr>
            <w:tcW w:w="1417"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7,53%</w:t>
            </w:r>
          </w:p>
        </w:tc>
      </w:tr>
      <w:tr w:rsidR="00F85905" w:rsidRPr="006C69B9" w:rsidTr="006C69B9">
        <w:trPr>
          <w:cnfStyle w:val="010000000000"/>
          <w:trHeight w:val="300"/>
          <w:jc w:val="center"/>
        </w:trPr>
        <w:tc>
          <w:tcPr>
            <w:cnfStyle w:val="001000000000"/>
            <w:tcW w:w="2518" w:type="dxa"/>
            <w:noWrap/>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Ukupno</w:t>
            </w:r>
          </w:p>
        </w:tc>
        <w:tc>
          <w:tcPr>
            <w:tcW w:w="1559"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55.213</w:t>
            </w:r>
          </w:p>
        </w:tc>
        <w:tc>
          <w:tcPr>
            <w:tcW w:w="1560"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148.293</w:t>
            </w:r>
          </w:p>
        </w:tc>
        <w:tc>
          <w:tcPr>
            <w:tcW w:w="1417"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37,23%</w:t>
            </w:r>
          </w:p>
        </w:tc>
      </w:tr>
    </w:tbl>
    <w:p w:rsidR="006C69B9" w:rsidRPr="006C69B9" w:rsidRDefault="006C69B9" w:rsidP="006C69B9">
      <w:pPr>
        <w:spacing w:after="0"/>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programiranje razvoja.</w:t>
      </w:r>
    </w:p>
    <w:p w:rsidR="006C69B9" w:rsidRPr="006C69B9" w:rsidRDefault="006C69B9" w:rsidP="006C69B9">
      <w:pPr>
        <w:rPr>
          <w:rFonts w:ascii="Calibri" w:eastAsia="Calibri" w:hAnsi="Calibri" w:cs="Times New Roman"/>
          <w:lang w:eastAsia="hr-HR"/>
        </w:rPr>
      </w:pPr>
    </w:p>
    <w:p w:rsidR="006C69B9" w:rsidRPr="006C69B9" w:rsidRDefault="006C69B9" w:rsidP="006C69B9">
      <w:pPr>
        <w:jc w:val="both"/>
        <w:rPr>
          <w:rFonts w:ascii="Calibri" w:eastAsia="Calibri" w:hAnsi="Calibri" w:cs="Times New Roman"/>
          <w:lang w:eastAsia="hr-HR"/>
        </w:rPr>
      </w:pPr>
      <w:r w:rsidRPr="006C69B9">
        <w:rPr>
          <w:rFonts w:ascii="Calibri" w:eastAsia="Calibri" w:hAnsi="Calibri" w:cs="Times New Roman"/>
          <w:lang w:eastAsia="hr-HR"/>
        </w:rPr>
        <w:t xml:space="preserve">U prethodnom petogodišnjem periodu zabilježen je kontinuiran trend rasta broja zaposlenih na području Kantona, te je tako u 2019. godini zabilježeno 11,86% odnosno 6.533 osobe više nego u 2015. godini. Najveći porast broja zaposlenih je zabilježen u općini Ravno (52,83%), općini Stolac (24,64%) i Općini Konjic (20,37%), dok je u općini Čitluk zabilježeno smanjenje broja zaposlenih za cca 5% u odnosu na 2015. godinu. </w:t>
      </w:r>
    </w:p>
    <w:p w:rsidR="006C69B9" w:rsidRPr="006C69B9" w:rsidRDefault="006C69B9" w:rsidP="006C69B9">
      <w:pPr>
        <w:keepNext/>
        <w:spacing w:after="80" w:line="240" w:lineRule="auto"/>
        <w:jc w:val="center"/>
        <w:rPr>
          <w:rFonts w:ascii="Calibri" w:eastAsia="Calibri" w:hAnsi="Calibri" w:cs="Calibri"/>
          <w:bCs/>
          <w:i/>
          <w:color w:val="31849B"/>
          <w:sz w:val="20"/>
          <w:lang w:eastAsia="bs-Latn-BA"/>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45</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Kretanje broja zaposlenih osoba po općinama Hercegovačko neretvanskog kantona </w:t>
      </w:r>
      <w:r w:rsidRPr="006C69B9">
        <w:rPr>
          <w:rFonts w:ascii="Calibri" w:eastAsia="Calibri" w:hAnsi="Calibri" w:cs="Calibri Light"/>
          <w:bCs/>
          <w:i/>
          <w:color w:val="31849B"/>
          <w:sz w:val="20"/>
        </w:rPr>
        <w:br/>
        <w:t>u periodu 2015- 2019 god</w:t>
      </w:r>
    </w:p>
    <w:tbl>
      <w:tblPr>
        <w:tblStyle w:val="MediumGrid3-Accent51"/>
        <w:tblW w:w="8249" w:type="dxa"/>
        <w:jc w:val="center"/>
        <w:tblLayout w:type="fixed"/>
        <w:tblLook w:val="06E0"/>
      </w:tblPr>
      <w:tblGrid>
        <w:gridCol w:w="2093"/>
        <w:gridCol w:w="1231"/>
        <w:gridCol w:w="1231"/>
        <w:gridCol w:w="1231"/>
        <w:gridCol w:w="1231"/>
        <w:gridCol w:w="1232"/>
      </w:tblGrid>
      <w:tr w:rsidR="00F85905" w:rsidRPr="006C69B9" w:rsidTr="006C69B9">
        <w:trPr>
          <w:cnfStyle w:val="100000000000"/>
          <w:trHeight w:val="300"/>
          <w:jc w:val="center"/>
        </w:trPr>
        <w:tc>
          <w:tcPr>
            <w:cnfStyle w:val="001000000000"/>
            <w:tcW w:w="2093" w:type="dxa"/>
            <w:noWrap/>
            <w:vAlign w:val="center"/>
            <w:hideMark/>
          </w:tcPr>
          <w:p w:rsidR="006C69B9" w:rsidRPr="006C69B9" w:rsidRDefault="006C69B9" w:rsidP="006C69B9">
            <w:pPr>
              <w:jc w:val="center"/>
              <w:rPr>
                <w:rFonts w:ascii="Calibri" w:eastAsia="Times New Roman" w:hAnsi="Calibri" w:cs="Calibri"/>
              </w:rPr>
            </w:pPr>
            <w:r w:rsidRPr="006C69B9">
              <w:rPr>
                <w:rFonts w:ascii="Calibri" w:eastAsia="Times New Roman" w:hAnsi="Calibri" w:cs="Calibri"/>
              </w:rPr>
              <w:t>Općine u HNK</w:t>
            </w:r>
          </w:p>
        </w:tc>
        <w:tc>
          <w:tcPr>
            <w:tcW w:w="1231" w:type="dxa"/>
            <w:noWrap/>
            <w:hideMark/>
          </w:tcPr>
          <w:p w:rsidR="006C69B9" w:rsidRPr="006C69B9" w:rsidRDefault="006C69B9" w:rsidP="006C69B9">
            <w:pPr>
              <w:jc w:val="right"/>
              <w:cnfStyle w:val="100000000000"/>
              <w:rPr>
                <w:rFonts w:ascii="Calibri" w:eastAsia="Times New Roman" w:hAnsi="Calibri" w:cs="Calibri"/>
              </w:rPr>
            </w:pPr>
            <w:r w:rsidRPr="006C69B9">
              <w:rPr>
                <w:rFonts w:ascii="Calibri" w:eastAsia="Times New Roman" w:hAnsi="Calibri" w:cs="Calibri"/>
              </w:rPr>
              <w:t>2015</w:t>
            </w:r>
          </w:p>
        </w:tc>
        <w:tc>
          <w:tcPr>
            <w:tcW w:w="1231" w:type="dxa"/>
            <w:noWrap/>
            <w:hideMark/>
          </w:tcPr>
          <w:p w:rsidR="006C69B9" w:rsidRPr="006C69B9" w:rsidRDefault="006C69B9" w:rsidP="006C69B9">
            <w:pPr>
              <w:jc w:val="right"/>
              <w:cnfStyle w:val="100000000000"/>
              <w:rPr>
                <w:rFonts w:ascii="Calibri" w:eastAsia="Times New Roman" w:hAnsi="Calibri" w:cs="Calibri"/>
              </w:rPr>
            </w:pPr>
            <w:r w:rsidRPr="006C69B9">
              <w:rPr>
                <w:rFonts w:ascii="Calibri" w:eastAsia="Times New Roman" w:hAnsi="Calibri" w:cs="Calibri"/>
              </w:rPr>
              <w:t>2016</w:t>
            </w:r>
          </w:p>
        </w:tc>
        <w:tc>
          <w:tcPr>
            <w:tcW w:w="1231" w:type="dxa"/>
            <w:noWrap/>
            <w:hideMark/>
          </w:tcPr>
          <w:p w:rsidR="006C69B9" w:rsidRPr="006C69B9" w:rsidRDefault="006C69B9" w:rsidP="006C69B9">
            <w:pPr>
              <w:jc w:val="right"/>
              <w:cnfStyle w:val="100000000000"/>
              <w:rPr>
                <w:rFonts w:ascii="Calibri" w:eastAsia="Times New Roman" w:hAnsi="Calibri" w:cs="Calibri"/>
              </w:rPr>
            </w:pPr>
            <w:r w:rsidRPr="006C69B9">
              <w:rPr>
                <w:rFonts w:ascii="Calibri" w:eastAsia="Times New Roman" w:hAnsi="Calibri" w:cs="Calibri"/>
              </w:rPr>
              <w:t>2017</w:t>
            </w:r>
          </w:p>
        </w:tc>
        <w:tc>
          <w:tcPr>
            <w:tcW w:w="1231" w:type="dxa"/>
            <w:noWrap/>
            <w:hideMark/>
          </w:tcPr>
          <w:p w:rsidR="006C69B9" w:rsidRPr="006C69B9" w:rsidRDefault="006C69B9" w:rsidP="006C69B9">
            <w:pPr>
              <w:jc w:val="right"/>
              <w:cnfStyle w:val="100000000000"/>
              <w:rPr>
                <w:rFonts w:ascii="Calibri" w:eastAsia="Times New Roman" w:hAnsi="Calibri" w:cs="Calibri"/>
              </w:rPr>
            </w:pPr>
            <w:r w:rsidRPr="006C69B9">
              <w:rPr>
                <w:rFonts w:ascii="Calibri" w:eastAsia="Times New Roman" w:hAnsi="Calibri" w:cs="Calibri"/>
              </w:rPr>
              <w:t>2018</w:t>
            </w:r>
          </w:p>
        </w:tc>
        <w:tc>
          <w:tcPr>
            <w:tcW w:w="1232" w:type="dxa"/>
            <w:noWrap/>
            <w:hideMark/>
          </w:tcPr>
          <w:p w:rsidR="006C69B9" w:rsidRPr="006C69B9" w:rsidRDefault="006C69B9" w:rsidP="006C69B9">
            <w:pPr>
              <w:jc w:val="right"/>
              <w:cnfStyle w:val="100000000000"/>
              <w:rPr>
                <w:rFonts w:ascii="Calibri" w:eastAsia="Times New Roman" w:hAnsi="Calibri" w:cs="Calibri"/>
              </w:rPr>
            </w:pPr>
            <w:r w:rsidRPr="006C69B9">
              <w:rPr>
                <w:rFonts w:ascii="Calibri" w:eastAsia="Times New Roman" w:hAnsi="Calibri" w:cs="Calibri"/>
              </w:rPr>
              <w:t>2019</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Grad Čapljina</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3.341</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3.325</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3.202</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3.503</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3.596</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 xml:space="preserve">Čitluk </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5.971</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6.113</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5.715</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5.471</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5.685</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Jablanica</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1.847</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1.873</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1.911</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2.022</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2.039</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Konjic</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4.714</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4.948</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5.240</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5.783</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5.920</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Grad Mostar</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29.489</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28.354</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29.001</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33.475</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33.929</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Neum</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1.051</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1.074</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1.038</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1.057</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1.119</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Prozor</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1.166</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1.184</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1.173</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1.414</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1.431</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 xml:space="preserve">Stolac </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1.006</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1.116</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1.102</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1.271</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1.335</w:t>
            </w:r>
          </w:p>
        </w:tc>
      </w:tr>
      <w:tr w:rsidR="00F85905" w:rsidRPr="006C69B9" w:rsidTr="006C69B9">
        <w:trPr>
          <w:trHeight w:val="300"/>
          <w:jc w:val="center"/>
        </w:trPr>
        <w:tc>
          <w:tcPr>
            <w:cnfStyle w:val="001000000000"/>
            <w:tcW w:w="2093" w:type="dxa"/>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Ravno</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75</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81</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76</w:t>
            </w:r>
          </w:p>
        </w:tc>
        <w:tc>
          <w:tcPr>
            <w:tcW w:w="1231"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131</w:t>
            </w:r>
          </w:p>
        </w:tc>
        <w:tc>
          <w:tcPr>
            <w:tcW w:w="1232" w:type="dxa"/>
            <w:noWrap/>
            <w:hideMark/>
          </w:tcPr>
          <w:p w:rsidR="006C69B9" w:rsidRPr="006C69B9" w:rsidRDefault="006C69B9" w:rsidP="006C69B9">
            <w:pPr>
              <w:jc w:val="right"/>
              <w:cnfStyle w:val="000000000000"/>
              <w:rPr>
                <w:rFonts w:ascii="Calibri" w:eastAsia="Times New Roman" w:hAnsi="Calibri" w:cs="Calibri"/>
                <w:color w:val="000000"/>
              </w:rPr>
            </w:pPr>
            <w:r w:rsidRPr="006C69B9">
              <w:rPr>
                <w:rFonts w:ascii="Calibri" w:eastAsia="Times New Roman" w:hAnsi="Calibri" w:cs="Calibri"/>
                <w:color w:val="000000"/>
              </w:rPr>
              <w:t>159</w:t>
            </w:r>
          </w:p>
        </w:tc>
      </w:tr>
      <w:tr w:rsidR="00F85905" w:rsidRPr="006C69B9" w:rsidTr="006C69B9">
        <w:trPr>
          <w:cnfStyle w:val="010000000000"/>
          <w:trHeight w:val="300"/>
          <w:jc w:val="center"/>
        </w:trPr>
        <w:tc>
          <w:tcPr>
            <w:cnfStyle w:val="001000000000"/>
            <w:tcW w:w="2093" w:type="dxa"/>
            <w:noWrap/>
            <w:hideMark/>
          </w:tcPr>
          <w:p w:rsidR="006C69B9" w:rsidRPr="006C69B9" w:rsidRDefault="006C69B9" w:rsidP="006C69B9">
            <w:pPr>
              <w:rPr>
                <w:rFonts w:ascii="Arial" w:eastAsia="Times New Roman" w:hAnsi="Arial" w:cs="Arial"/>
                <w:sz w:val="18"/>
                <w:szCs w:val="18"/>
              </w:rPr>
            </w:pPr>
            <w:r w:rsidRPr="006C69B9">
              <w:rPr>
                <w:rFonts w:ascii="Arial" w:eastAsia="Times New Roman" w:hAnsi="Arial" w:cs="Arial"/>
                <w:sz w:val="18"/>
                <w:szCs w:val="18"/>
              </w:rPr>
              <w:t>Ukupno</w:t>
            </w:r>
          </w:p>
        </w:tc>
        <w:tc>
          <w:tcPr>
            <w:tcW w:w="1231"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48.660</w:t>
            </w:r>
          </w:p>
        </w:tc>
        <w:tc>
          <w:tcPr>
            <w:tcW w:w="1231"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48.068</w:t>
            </w:r>
          </w:p>
        </w:tc>
        <w:tc>
          <w:tcPr>
            <w:tcW w:w="1231"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48.458</w:t>
            </w:r>
          </w:p>
        </w:tc>
        <w:tc>
          <w:tcPr>
            <w:tcW w:w="1231"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54.133</w:t>
            </w:r>
          </w:p>
        </w:tc>
        <w:tc>
          <w:tcPr>
            <w:tcW w:w="1232" w:type="dxa"/>
            <w:noWrap/>
            <w:hideMark/>
          </w:tcPr>
          <w:p w:rsidR="006C69B9" w:rsidRPr="006C69B9" w:rsidRDefault="006C69B9" w:rsidP="006C69B9">
            <w:pPr>
              <w:jc w:val="right"/>
              <w:cnfStyle w:val="010000000000"/>
              <w:rPr>
                <w:rFonts w:ascii="Calibri" w:eastAsia="Times New Roman" w:hAnsi="Calibri" w:cs="Calibri"/>
              </w:rPr>
            </w:pPr>
            <w:r w:rsidRPr="006C69B9">
              <w:rPr>
                <w:rFonts w:ascii="Calibri" w:eastAsia="Times New Roman" w:hAnsi="Calibri" w:cs="Calibri"/>
              </w:rPr>
              <w:t>55.213</w:t>
            </w:r>
          </w:p>
        </w:tc>
      </w:tr>
    </w:tbl>
    <w:p w:rsidR="006C69B9" w:rsidRPr="006C69B9" w:rsidRDefault="006C69B9" w:rsidP="006C69B9">
      <w:pPr>
        <w:spacing w:after="0"/>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programiranje razvoja.</w:t>
      </w:r>
    </w:p>
    <w:p w:rsidR="006C69B9" w:rsidRPr="006C69B9" w:rsidRDefault="006C69B9" w:rsidP="006C69B9">
      <w:pPr>
        <w:spacing w:after="0" w:line="276" w:lineRule="auto"/>
        <w:contextualSpacing/>
        <w:jc w:val="both"/>
        <w:rPr>
          <w:rFonts w:ascii="Calibri" w:eastAsia="Calibri" w:hAnsi="Calibri" w:cs="Times New Roman"/>
          <w:lang w:val="bs-Latn-BA"/>
        </w:rPr>
      </w:pPr>
    </w:p>
    <w:p w:rsidR="006C69B9" w:rsidRPr="006C69B9" w:rsidRDefault="006C69B9" w:rsidP="006C69B9">
      <w:pPr>
        <w:spacing w:before="240" w:line="276" w:lineRule="auto"/>
        <w:contextualSpacing/>
        <w:jc w:val="both"/>
        <w:rPr>
          <w:rFonts w:ascii="Calibri" w:eastAsia="Calibri" w:hAnsi="Calibri" w:cs="Times New Roman"/>
          <w:lang w:val="bs-Latn-BA"/>
        </w:rPr>
      </w:pPr>
      <w:r w:rsidRPr="006C69B9">
        <w:rPr>
          <w:rFonts w:ascii="Calibri" w:eastAsia="Calibri" w:hAnsi="Calibri" w:cs="Times New Roman"/>
          <w:b/>
          <w:lang w:val="bs-Latn-BA"/>
        </w:rPr>
        <w:t>Nezaposleni.</w:t>
      </w:r>
      <w:r w:rsidRPr="006C69B9">
        <w:rPr>
          <w:rFonts w:ascii="Calibri" w:eastAsia="Calibri" w:hAnsi="Calibri" w:cs="Times New Roman"/>
          <w:lang w:val="bs-Latn-BA"/>
        </w:rPr>
        <w:t xml:space="preserve"> Hercegovačko neretvanski kanton bilježi kontinuiran pad broja nezaposlenih u periodu 2015-2019 te je u 2019. godini registrovano 29.221 nezaposlenih lica, što je 9,3% ukupnog broja nezaposlenih u F BiH koji je iznosio 313.570 lica za 2019. godinu. U prethodnom periodu došlo je do pada broja nezaposlenih od 17,9% odnosno 5.231 osoba je pronašla zaposlenje. Pad broja nezaspolenih prati rast broja zaposlenih osoba čime se zaključuje da se tržište rada kreće u pravcu razvoja. </w:t>
      </w:r>
    </w:p>
    <w:p w:rsidR="006C69B9" w:rsidRPr="006C69B9" w:rsidRDefault="006C69B9" w:rsidP="006C69B9">
      <w:pPr>
        <w:spacing w:before="240" w:line="276" w:lineRule="auto"/>
        <w:contextualSpacing/>
        <w:jc w:val="both"/>
        <w:rPr>
          <w:rFonts w:ascii="Calibri" w:eastAsia="Calibri" w:hAnsi="Calibri" w:cs="Times New Roman"/>
          <w:lang w:val="bs-Latn-BA"/>
        </w:rPr>
      </w:pPr>
    </w:p>
    <w:p w:rsidR="006C69B9" w:rsidRPr="006C69B9" w:rsidRDefault="006C69B9" w:rsidP="006C69B9">
      <w:pPr>
        <w:spacing w:before="240" w:line="276" w:lineRule="auto"/>
        <w:contextualSpacing/>
        <w:jc w:val="both"/>
        <w:rPr>
          <w:rFonts w:ascii="Calibri" w:eastAsia="Calibri" w:hAnsi="Calibri" w:cs="Times New Roman"/>
          <w:lang w:val="bs-Latn-BA"/>
        </w:rPr>
      </w:pPr>
      <w:r w:rsidRPr="006C69B9">
        <w:rPr>
          <w:rFonts w:ascii="Calibri" w:eastAsia="Calibri" w:hAnsi="Calibri" w:cs="Calibri"/>
          <w:lang w:val="bs-Latn-BA" w:eastAsia="bs-Latn-BA"/>
        </w:rPr>
        <w:t xml:space="preserve">Unutar Hercegovačko-neretvanskog kantona </w:t>
      </w:r>
      <w:r w:rsidRPr="006C69B9">
        <w:rPr>
          <w:rFonts w:ascii="Calibri" w:eastAsia="Calibri" w:hAnsi="Calibri" w:cs="Times New Roman"/>
          <w:lang w:val="bs-Latn-BA"/>
        </w:rPr>
        <w:t>u 2019. godini najveći broj nezaposlenih lica registriran je u Gradu Mostaru (48,89% od ukupnog broja nezaposlenih u Kantonu) i Konjicu (12,73%), dok je najmanji broj nezaposlenih osoba registrovan u općinama Ravno i Neum, ali tome je razlog veličina lokalnih zajednica.</w:t>
      </w:r>
    </w:p>
    <w:p w:rsidR="006C69B9" w:rsidRPr="006C69B9" w:rsidRDefault="006C69B9" w:rsidP="006C69B9">
      <w:pPr>
        <w:spacing w:after="0" w:line="276" w:lineRule="auto"/>
        <w:contextualSpacing/>
        <w:jc w:val="both"/>
        <w:rPr>
          <w:rFonts w:ascii="Calibri" w:eastAsia="Calibri" w:hAnsi="Calibri" w:cs="Calibri"/>
          <w:color w:val="000000"/>
          <w:lang w:val="bs-Latn-BA"/>
        </w:rPr>
      </w:pPr>
    </w:p>
    <w:p w:rsidR="006C69B9" w:rsidRPr="006C69B9" w:rsidRDefault="006C69B9" w:rsidP="006C69B9">
      <w:pPr>
        <w:spacing w:after="0" w:line="276" w:lineRule="auto"/>
        <w:contextualSpacing/>
        <w:jc w:val="both"/>
        <w:rPr>
          <w:rFonts w:ascii="Calibri" w:eastAsia="Calibri" w:hAnsi="Calibri" w:cs="Calibri"/>
          <w:color w:val="000000"/>
          <w:lang w:val="bs-Latn-BA"/>
        </w:rPr>
      </w:pPr>
    </w:p>
    <w:p w:rsidR="006C69B9" w:rsidRPr="006C69B9" w:rsidRDefault="006C69B9" w:rsidP="006C69B9">
      <w:pPr>
        <w:keepNext/>
        <w:spacing w:after="80" w:line="240" w:lineRule="auto"/>
        <w:jc w:val="center"/>
        <w:rPr>
          <w:rFonts w:ascii="Calibri" w:eastAsia="Calibri" w:hAnsi="Calibri" w:cs="Calibri"/>
          <w:bCs/>
          <w:i/>
          <w:color w:val="31849B"/>
          <w:sz w:val="20"/>
          <w:lang w:eastAsia="bs-Latn-BA"/>
        </w:rPr>
      </w:pPr>
      <w:r w:rsidRPr="006C69B9">
        <w:rPr>
          <w:rFonts w:ascii="Calibri" w:eastAsia="Calibri" w:hAnsi="Calibri" w:cs="Calibri Light"/>
          <w:bCs/>
          <w:i/>
          <w:color w:val="31849B"/>
          <w:sz w:val="20"/>
        </w:rPr>
        <w:lastRenderedPageBreak/>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46</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xml:space="preserve"> Kretanje broja nezaposlenih osoba po općinama Hercegovačko neretvanskog kantona </w:t>
      </w:r>
      <w:r w:rsidRPr="006C69B9">
        <w:rPr>
          <w:rFonts w:ascii="Calibri" w:eastAsia="Calibri" w:hAnsi="Calibri" w:cs="Calibri Light"/>
          <w:bCs/>
          <w:i/>
          <w:color w:val="31849B"/>
          <w:sz w:val="20"/>
        </w:rPr>
        <w:br/>
        <w:t>u periodu 2015- 2019 god</w:t>
      </w:r>
    </w:p>
    <w:tbl>
      <w:tblPr>
        <w:tblStyle w:val="MediumGrid3-Accent51"/>
        <w:tblW w:w="8249" w:type="dxa"/>
        <w:jc w:val="center"/>
        <w:tblLayout w:type="fixed"/>
        <w:tblLook w:val="06E0"/>
      </w:tblPr>
      <w:tblGrid>
        <w:gridCol w:w="2093"/>
        <w:gridCol w:w="1231"/>
        <w:gridCol w:w="1231"/>
        <w:gridCol w:w="1231"/>
        <w:gridCol w:w="1231"/>
        <w:gridCol w:w="1232"/>
      </w:tblGrid>
      <w:tr w:rsidR="00F85905" w:rsidRPr="006C69B9" w:rsidTr="006C69B9">
        <w:trPr>
          <w:cnfStyle w:val="100000000000"/>
          <w:trHeight w:val="300"/>
          <w:jc w:val="center"/>
        </w:trPr>
        <w:tc>
          <w:tcPr>
            <w:cnfStyle w:val="001000000000"/>
            <w:tcW w:w="2093" w:type="dxa"/>
            <w:noWrap/>
            <w:vAlign w:val="center"/>
            <w:hideMark/>
          </w:tcPr>
          <w:p w:rsidR="006C69B9" w:rsidRPr="006C69B9" w:rsidRDefault="006C69B9" w:rsidP="006C69B9">
            <w:pPr>
              <w:jc w:val="center"/>
              <w:rPr>
                <w:rFonts w:ascii="Calibri" w:eastAsia="Times New Roman" w:hAnsi="Calibri" w:cs="Calibri"/>
              </w:rPr>
            </w:pPr>
            <w:r w:rsidRPr="006C69B9">
              <w:rPr>
                <w:rFonts w:ascii="Calibri" w:eastAsia="Times New Roman" w:hAnsi="Calibri" w:cs="Calibri"/>
              </w:rPr>
              <w:t>Općine u HNK</w:t>
            </w:r>
          </w:p>
        </w:tc>
        <w:tc>
          <w:tcPr>
            <w:tcW w:w="1231" w:type="dxa"/>
            <w:noWrap/>
            <w:vAlign w:val="center"/>
            <w:hideMark/>
          </w:tcPr>
          <w:p w:rsidR="006C69B9" w:rsidRPr="006C69B9" w:rsidRDefault="006C69B9" w:rsidP="006C69B9">
            <w:pPr>
              <w:jc w:val="center"/>
              <w:cnfStyle w:val="100000000000"/>
              <w:rPr>
                <w:rFonts w:ascii="Calibri" w:eastAsia="Times New Roman" w:hAnsi="Calibri" w:cs="Calibri"/>
              </w:rPr>
            </w:pPr>
            <w:r w:rsidRPr="006C69B9">
              <w:rPr>
                <w:rFonts w:ascii="Calibri" w:eastAsia="Times New Roman" w:hAnsi="Calibri" w:cs="Calibri"/>
              </w:rPr>
              <w:t>2015</w:t>
            </w:r>
          </w:p>
        </w:tc>
        <w:tc>
          <w:tcPr>
            <w:tcW w:w="1231" w:type="dxa"/>
            <w:noWrap/>
            <w:vAlign w:val="center"/>
            <w:hideMark/>
          </w:tcPr>
          <w:p w:rsidR="006C69B9" w:rsidRPr="006C69B9" w:rsidRDefault="006C69B9" w:rsidP="006C69B9">
            <w:pPr>
              <w:jc w:val="center"/>
              <w:cnfStyle w:val="100000000000"/>
              <w:rPr>
                <w:rFonts w:ascii="Calibri" w:eastAsia="Times New Roman" w:hAnsi="Calibri" w:cs="Calibri"/>
              </w:rPr>
            </w:pPr>
            <w:r w:rsidRPr="006C69B9">
              <w:rPr>
                <w:rFonts w:ascii="Calibri" w:eastAsia="Times New Roman" w:hAnsi="Calibri" w:cs="Calibri"/>
              </w:rPr>
              <w:t>2016</w:t>
            </w:r>
          </w:p>
        </w:tc>
        <w:tc>
          <w:tcPr>
            <w:tcW w:w="1231" w:type="dxa"/>
            <w:noWrap/>
            <w:vAlign w:val="center"/>
            <w:hideMark/>
          </w:tcPr>
          <w:p w:rsidR="006C69B9" w:rsidRPr="006C69B9" w:rsidRDefault="006C69B9" w:rsidP="006C69B9">
            <w:pPr>
              <w:jc w:val="center"/>
              <w:cnfStyle w:val="100000000000"/>
              <w:rPr>
                <w:rFonts w:ascii="Calibri" w:eastAsia="Times New Roman" w:hAnsi="Calibri" w:cs="Calibri"/>
              </w:rPr>
            </w:pPr>
            <w:r w:rsidRPr="006C69B9">
              <w:rPr>
                <w:rFonts w:ascii="Calibri" w:eastAsia="Times New Roman" w:hAnsi="Calibri" w:cs="Calibri"/>
              </w:rPr>
              <w:t>2017</w:t>
            </w:r>
          </w:p>
        </w:tc>
        <w:tc>
          <w:tcPr>
            <w:tcW w:w="1231" w:type="dxa"/>
            <w:noWrap/>
            <w:vAlign w:val="center"/>
            <w:hideMark/>
          </w:tcPr>
          <w:p w:rsidR="006C69B9" w:rsidRPr="006C69B9" w:rsidRDefault="006C69B9" w:rsidP="006C69B9">
            <w:pPr>
              <w:jc w:val="center"/>
              <w:cnfStyle w:val="100000000000"/>
              <w:rPr>
                <w:rFonts w:ascii="Calibri" w:eastAsia="Times New Roman" w:hAnsi="Calibri" w:cs="Calibri"/>
              </w:rPr>
            </w:pPr>
            <w:r w:rsidRPr="006C69B9">
              <w:rPr>
                <w:rFonts w:ascii="Calibri" w:eastAsia="Times New Roman" w:hAnsi="Calibri" w:cs="Calibri"/>
              </w:rPr>
              <w:t>2018</w:t>
            </w:r>
          </w:p>
        </w:tc>
        <w:tc>
          <w:tcPr>
            <w:tcW w:w="1232" w:type="dxa"/>
            <w:noWrap/>
            <w:vAlign w:val="center"/>
            <w:hideMark/>
          </w:tcPr>
          <w:p w:rsidR="006C69B9" w:rsidRPr="006C69B9" w:rsidRDefault="006C69B9" w:rsidP="006C69B9">
            <w:pPr>
              <w:jc w:val="center"/>
              <w:cnfStyle w:val="100000000000"/>
              <w:rPr>
                <w:rFonts w:ascii="Calibri" w:eastAsia="Times New Roman" w:hAnsi="Calibri" w:cs="Calibri"/>
              </w:rPr>
            </w:pPr>
            <w:r w:rsidRPr="006C69B9">
              <w:rPr>
                <w:rFonts w:ascii="Calibri" w:eastAsia="Times New Roman" w:hAnsi="Calibri" w:cs="Calibri"/>
              </w:rPr>
              <w:t>2019</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Grad Čapljina</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3.487</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3.376</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3.255</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3.011</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2.856</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Čitluk</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2.682</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2.700</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2.536</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2.538</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2.437</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Jablanica</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2.367</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2.293</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2.214</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2.110</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1.988</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Konjic</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4.088</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4.128</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4.047</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3.879</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3.719</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Grad Mostar</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17.232</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16.325</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15.835</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14.996</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14.286</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Neum</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429</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403</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355</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331</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298</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Prozor</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1.981</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1.980</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1.964</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1.863</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1.783</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Stolac</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2.150</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2.084</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2.038</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1,884</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1.819</w:t>
            </w:r>
          </w:p>
        </w:tc>
      </w:tr>
      <w:tr w:rsidR="00F85905" w:rsidRPr="006C69B9" w:rsidTr="006C69B9">
        <w:trPr>
          <w:trHeight w:val="300"/>
          <w:jc w:val="center"/>
        </w:trPr>
        <w:tc>
          <w:tcPr>
            <w:cnfStyle w:val="001000000000"/>
            <w:tcW w:w="2093" w:type="dxa"/>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Ravno</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37</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38</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38</w:t>
            </w:r>
          </w:p>
        </w:tc>
        <w:tc>
          <w:tcPr>
            <w:tcW w:w="1231"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38</w:t>
            </w:r>
          </w:p>
        </w:tc>
        <w:tc>
          <w:tcPr>
            <w:tcW w:w="1232" w:type="dxa"/>
            <w:noWrap/>
            <w:vAlign w:val="center"/>
            <w:hideMark/>
          </w:tcPr>
          <w:p w:rsidR="006C69B9" w:rsidRPr="006C69B9" w:rsidRDefault="006C69B9" w:rsidP="006C69B9">
            <w:pPr>
              <w:jc w:val="center"/>
              <w:cnfStyle w:val="000000000000"/>
              <w:rPr>
                <w:rFonts w:ascii="Calibri" w:eastAsia="Calibri" w:hAnsi="Calibri" w:cs="Calibri"/>
                <w:color w:val="000000"/>
                <w:lang w:val="bs-Latn-BA"/>
              </w:rPr>
            </w:pPr>
            <w:r w:rsidRPr="006C69B9">
              <w:rPr>
                <w:rFonts w:ascii="Calibri" w:eastAsia="Calibri" w:hAnsi="Calibri" w:cs="Calibri"/>
                <w:color w:val="000000"/>
                <w:lang w:val="bs-Latn-BA"/>
              </w:rPr>
              <w:t>36</w:t>
            </w:r>
          </w:p>
        </w:tc>
      </w:tr>
      <w:tr w:rsidR="00F85905" w:rsidRPr="006C69B9" w:rsidTr="006C69B9">
        <w:trPr>
          <w:cnfStyle w:val="010000000000"/>
          <w:trHeight w:val="300"/>
          <w:jc w:val="center"/>
        </w:trPr>
        <w:tc>
          <w:tcPr>
            <w:cnfStyle w:val="001000000000"/>
            <w:tcW w:w="2093" w:type="dxa"/>
            <w:noWrap/>
            <w:vAlign w:val="center"/>
            <w:hideMark/>
          </w:tcPr>
          <w:p w:rsidR="006C69B9" w:rsidRPr="006C69B9" w:rsidRDefault="006C69B9" w:rsidP="006C69B9">
            <w:pPr>
              <w:jc w:val="center"/>
              <w:rPr>
                <w:rFonts w:ascii="Arial" w:eastAsia="Times New Roman" w:hAnsi="Arial" w:cs="Arial"/>
                <w:sz w:val="18"/>
                <w:szCs w:val="18"/>
              </w:rPr>
            </w:pPr>
            <w:r w:rsidRPr="006C69B9">
              <w:rPr>
                <w:rFonts w:ascii="Arial" w:eastAsia="Times New Roman" w:hAnsi="Arial" w:cs="Arial"/>
                <w:sz w:val="18"/>
                <w:szCs w:val="18"/>
              </w:rPr>
              <w:t>Ukupno</w:t>
            </w:r>
          </w:p>
        </w:tc>
        <w:tc>
          <w:tcPr>
            <w:tcW w:w="1231" w:type="dxa"/>
            <w:noWrap/>
            <w:vAlign w:val="center"/>
            <w:hideMark/>
          </w:tcPr>
          <w:p w:rsidR="006C69B9" w:rsidRPr="006C69B9" w:rsidRDefault="006C69B9" w:rsidP="006C69B9">
            <w:pPr>
              <w:jc w:val="center"/>
              <w:cnfStyle w:val="010000000000"/>
              <w:rPr>
                <w:rFonts w:ascii="Calibri" w:eastAsia="Calibri" w:hAnsi="Calibri" w:cs="Calibri"/>
                <w:color w:val="000000"/>
                <w:lang w:val="bs-Latn-BA"/>
              </w:rPr>
            </w:pPr>
            <w:r w:rsidRPr="006C69B9">
              <w:rPr>
                <w:rFonts w:ascii="Calibri" w:eastAsia="Calibri" w:hAnsi="Calibri" w:cs="Calibri"/>
                <w:color w:val="000000"/>
                <w:lang w:val="bs-Latn-BA"/>
              </w:rPr>
              <w:t>34.453</w:t>
            </w:r>
          </w:p>
        </w:tc>
        <w:tc>
          <w:tcPr>
            <w:tcW w:w="1231" w:type="dxa"/>
            <w:noWrap/>
            <w:vAlign w:val="center"/>
            <w:hideMark/>
          </w:tcPr>
          <w:p w:rsidR="006C69B9" w:rsidRPr="006C69B9" w:rsidRDefault="006C69B9" w:rsidP="006C69B9">
            <w:pPr>
              <w:jc w:val="center"/>
              <w:cnfStyle w:val="010000000000"/>
              <w:rPr>
                <w:rFonts w:ascii="Calibri" w:eastAsia="Calibri" w:hAnsi="Calibri" w:cs="Calibri"/>
                <w:color w:val="000000"/>
                <w:lang w:val="bs-Latn-BA"/>
              </w:rPr>
            </w:pPr>
            <w:r w:rsidRPr="006C69B9">
              <w:rPr>
                <w:rFonts w:ascii="Calibri" w:eastAsia="Calibri" w:hAnsi="Calibri" w:cs="Calibri"/>
                <w:color w:val="000000"/>
                <w:lang w:val="bs-Latn-BA"/>
              </w:rPr>
              <w:t>33.327</w:t>
            </w:r>
          </w:p>
        </w:tc>
        <w:tc>
          <w:tcPr>
            <w:tcW w:w="1231" w:type="dxa"/>
            <w:noWrap/>
            <w:vAlign w:val="center"/>
            <w:hideMark/>
          </w:tcPr>
          <w:p w:rsidR="006C69B9" w:rsidRPr="006C69B9" w:rsidRDefault="006C69B9" w:rsidP="006C69B9">
            <w:pPr>
              <w:jc w:val="center"/>
              <w:cnfStyle w:val="010000000000"/>
              <w:rPr>
                <w:rFonts w:ascii="Calibri" w:eastAsia="Calibri" w:hAnsi="Calibri" w:cs="Calibri"/>
                <w:color w:val="000000"/>
                <w:lang w:val="bs-Latn-BA"/>
              </w:rPr>
            </w:pPr>
            <w:r w:rsidRPr="006C69B9">
              <w:rPr>
                <w:rFonts w:ascii="Calibri" w:eastAsia="Calibri" w:hAnsi="Calibri" w:cs="Calibri"/>
                <w:color w:val="000000"/>
                <w:lang w:val="bs-Latn-BA"/>
              </w:rPr>
              <w:t>32.282</w:t>
            </w:r>
          </w:p>
        </w:tc>
        <w:tc>
          <w:tcPr>
            <w:tcW w:w="1231" w:type="dxa"/>
            <w:noWrap/>
            <w:vAlign w:val="center"/>
            <w:hideMark/>
          </w:tcPr>
          <w:p w:rsidR="006C69B9" w:rsidRPr="006C69B9" w:rsidRDefault="006C69B9" w:rsidP="006C69B9">
            <w:pPr>
              <w:jc w:val="center"/>
              <w:cnfStyle w:val="010000000000"/>
              <w:rPr>
                <w:rFonts w:ascii="Calibri" w:eastAsia="Calibri" w:hAnsi="Calibri" w:cs="Calibri"/>
                <w:color w:val="000000"/>
                <w:lang w:val="bs-Latn-BA"/>
              </w:rPr>
            </w:pPr>
            <w:r w:rsidRPr="006C69B9">
              <w:rPr>
                <w:rFonts w:ascii="Calibri" w:eastAsia="Calibri" w:hAnsi="Calibri" w:cs="Calibri"/>
                <w:color w:val="000000"/>
                <w:lang w:val="bs-Latn-BA"/>
              </w:rPr>
              <w:t>30.650</w:t>
            </w:r>
          </w:p>
        </w:tc>
        <w:tc>
          <w:tcPr>
            <w:tcW w:w="1232" w:type="dxa"/>
            <w:noWrap/>
            <w:vAlign w:val="center"/>
            <w:hideMark/>
          </w:tcPr>
          <w:p w:rsidR="006C69B9" w:rsidRPr="006C69B9" w:rsidRDefault="006C69B9" w:rsidP="006C69B9">
            <w:pPr>
              <w:jc w:val="center"/>
              <w:cnfStyle w:val="010000000000"/>
              <w:rPr>
                <w:rFonts w:ascii="Calibri" w:eastAsia="Calibri" w:hAnsi="Calibri" w:cs="Calibri"/>
                <w:color w:val="000000"/>
                <w:lang w:val="bs-Latn-BA"/>
              </w:rPr>
            </w:pPr>
            <w:r w:rsidRPr="006C69B9">
              <w:rPr>
                <w:rFonts w:ascii="Calibri" w:eastAsia="Calibri" w:hAnsi="Calibri" w:cs="Calibri"/>
                <w:color w:val="000000"/>
                <w:lang w:val="bs-Latn-BA"/>
              </w:rPr>
              <w:t>29.222</w:t>
            </w:r>
          </w:p>
        </w:tc>
      </w:tr>
    </w:tbl>
    <w:p w:rsidR="006C69B9" w:rsidRPr="006C69B9" w:rsidRDefault="006C69B9" w:rsidP="006C69B9">
      <w:pPr>
        <w:spacing w:after="0"/>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Federalni zavod za programiranje razvoja.</w:t>
      </w:r>
    </w:p>
    <w:p w:rsidR="006C69B9" w:rsidRPr="006C69B9" w:rsidRDefault="006C69B9" w:rsidP="006C69B9">
      <w:pPr>
        <w:spacing w:after="0" w:line="276" w:lineRule="auto"/>
        <w:contextualSpacing/>
        <w:jc w:val="both"/>
        <w:rPr>
          <w:rFonts w:ascii="Calibri" w:eastAsia="Calibri" w:hAnsi="Calibri" w:cs="Calibri"/>
          <w:color w:val="FF0000"/>
          <w:lang w:val="bs-Latn-BA"/>
        </w:rPr>
      </w:pPr>
    </w:p>
    <w:p w:rsidR="006C69B9" w:rsidRPr="006C69B9" w:rsidRDefault="006C69B9" w:rsidP="006C69B9">
      <w:pPr>
        <w:jc w:val="both"/>
        <w:rPr>
          <w:rFonts w:ascii="Calibri" w:eastAsia="Calibri" w:hAnsi="Calibri" w:cs="Calibri"/>
          <w:lang w:val="bs-Latn-BA" w:eastAsia="bs-Latn-BA"/>
        </w:rPr>
      </w:pPr>
      <w:r w:rsidRPr="006C69B9">
        <w:rPr>
          <w:rFonts w:ascii="Calibri" w:eastAsia="Calibri" w:hAnsi="Calibri" w:cs="Calibri"/>
          <w:lang w:val="bs-Latn-BA" w:eastAsia="bs-Latn-BA"/>
        </w:rPr>
        <w:t>Posmatrajući nezaposlena lica kroz obrazovnu strukturu kako na području Hercegovačko-neretvanskog kantona tako i FBiH, uočava se da je njihova raspodjela ujednačena kroz promatrani šestogodišnji period. U 2019. godini najveći udio nezaposlenih na području Hercegovačko-neretvanskog kantona odnosilo se na KV radnike (32,95%), 31,35% nezaposlenih ima SSS, te 20,53% lica su nekvalifikovana lica. U ukupnom broju nezaposlenih, visokoobrazovana lica učestvuju sa 13,71% (VŠS i VSS). Sa druge strane, vrlo slična obrazovna struktura nezaposlenih je na području FBiH: KV radnika je 31,5%, 29,8% su NK radnici dok 27,4% nezaposlenih ima SSS. U ukupnom broju nezaposlenih u Federaciji BiH u 2019. godini, visokoobrazovana lica učestvuju sa 9,2% (VŠS i VSS).</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Calibri"/>
          <w:b/>
          <w:lang w:val="bs-Latn-BA" w:eastAsia="bs-Latn-BA"/>
        </w:rPr>
        <w:t>Plaće.</w:t>
      </w:r>
      <w:r w:rsidRPr="006C69B9">
        <w:rPr>
          <w:rFonts w:ascii="Calibri" w:eastAsia="Calibri" w:hAnsi="Calibri" w:cs="Calibri"/>
          <w:lang w:val="bs-Latn-BA" w:eastAsia="bs-Latn-BA"/>
        </w:rPr>
        <w:t xml:space="preserve"> Prosječna mjesečna isplaćena neto plata u području Hercegovačko-neretvanskom kantonu za 2019. godinu iznosi 1.011 KM </w:t>
      </w:r>
      <w:r w:rsidRPr="006C69B9">
        <w:rPr>
          <w:rFonts w:ascii="Calibri" w:eastAsia="Calibri" w:hAnsi="Calibri" w:cs="Times New Roman"/>
          <w:lang w:val="bs-Latn-BA"/>
        </w:rPr>
        <w:t xml:space="preserve">što je više za 4,1% u odnosu na 2018. godinu i što je 8,9% više u odnosu na prosjek FBiH koji je u 2019. godini iznosio 928 KM (Grafikon 4.).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noProof/>
          <w:color w:val="31849B"/>
          <w:sz w:val="20"/>
          <w:lang w:eastAsia="hr-HR"/>
        </w:rPr>
        <w:drawing>
          <wp:anchor distT="0" distB="0" distL="114300" distR="114300" simplePos="0" relativeHeight="251660288" behindDoc="0" locked="0" layoutInCell="1" allowOverlap="1">
            <wp:simplePos x="0" y="0"/>
            <wp:positionH relativeFrom="column">
              <wp:posOffset>247650</wp:posOffset>
            </wp:positionH>
            <wp:positionV relativeFrom="paragraph">
              <wp:posOffset>483235</wp:posOffset>
            </wp:positionV>
            <wp:extent cx="5107305" cy="1438275"/>
            <wp:effectExtent l="19050" t="0" r="17145" b="0"/>
            <wp:wrapTopAndBottom/>
            <wp:docPr id="70"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4E4F7C-28D3-4983-85A0-CF0451B4C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6C69B9">
        <w:rPr>
          <w:rFonts w:ascii="Calibri" w:eastAsia="Calibri" w:hAnsi="Calibri" w:cs="Calibri Light"/>
          <w:bCs/>
          <w:i/>
          <w:color w:val="31849B"/>
          <w:sz w:val="20"/>
        </w:rPr>
        <w:t xml:space="preserve">Grafikon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Grafikon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Kretanje prosječne mjesečne neto plate u Hercegovačko neretvanskom kantonu i Federaciji BiH u periodu 2015.-2019. godine</w:t>
      </w:r>
    </w:p>
    <w:p w:rsidR="006C69B9" w:rsidRPr="006C69B9" w:rsidRDefault="006C69B9" w:rsidP="006C69B9">
      <w:pPr>
        <w:spacing w:after="0"/>
        <w:jc w:val="center"/>
        <w:rPr>
          <w:rFonts w:ascii="Calibri" w:eastAsia="Calibri" w:hAnsi="Calibri" w:cs="Times New Roman"/>
          <w:b/>
          <w:i/>
          <w:iCs/>
          <w:sz w:val="16"/>
          <w:szCs w:val="16"/>
          <w:lang w:val="bs-Latn-BA" w:eastAsia="hr-HR"/>
        </w:rPr>
      </w:pPr>
    </w:p>
    <w:p w:rsidR="006C69B9" w:rsidRPr="006C69B9" w:rsidRDefault="006C69B9" w:rsidP="006C69B9">
      <w:pPr>
        <w:spacing w:after="0"/>
        <w:jc w:val="center"/>
        <w:rPr>
          <w:rFonts w:ascii="Calibri" w:eastAsia="Calibri" w:hAnsi="Calibri" w:cs="Times New Roman"/>
          <w:b/>
          <w:i/>
          <w:iCs/>
          <w:sz w:val="16"/>
          <w:szCs w:val="16"/>
          <w:lang w:val="bs-Latn-BA" w:eastAsia="hr-HR"/>
        </w:rPr>
      </w:pPr>
      <w:r w:rsidRPr="006C69B9">
        <w:rPr>
          <w:rFonts w:ascii="Calibri" w:eastAsia="Calibri" w:hAnsi="Calibri" w:cs="Times New Roman"/>
          <w:b/>
          <w:i/>
          <w:iCs/>
          <w:sz w:val="16"/>
          <w:szCs w:val="16"/>
          <w:lang w:val="bs-Latn-BA" w:eastAsia="hr-HR"/>
        </w:rPr>
        <w:t>Izvor: Federalni zavod za programiranje razvoja</w:t>
      </w:r>
    </w:p>
    <w:p w:rsidR="006C69B9" w:rsidRPr="006C69B9" w:rsidRDefault="006C69B9" w:rsidP="006C69B9">
      <w:pPr>
        <w:spacing w:after="0"/>
        <w:jc w:val="center"/>
        <w:rPr>
          <w:rFonts w:ascii="Calibri" w:eastAsia="Times New Roman" w:hAnsi="Calibri" w:cs="Times New Roman"/>
          <w:b/>
          <w:bCs/>
          <w:color w:val="365F91"/>
          <w:sz w:val="20"/>
          <w:szCs w:val="18"/>
          <w:lang w:val="bs-Latn-BA" w:eastAsia="hr-HR"/>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Uz prateći trend rasta iznosa mjesečne neto plate u Federaciji BiH, utoku prethodnog petogodišnjeg perioda, mjesečna neto plaća i u </w:t>
      </w:r>
      <w:r w:rsidRPr="006C69B9">
        <w:rPr>
          <w:rFonts w:ascii="Calibri" w:eastAsia="Calibri" w:hAnsi="Calibri" w:cs="Calibri"/>
          <w:lang w:val="bs-Latn-BA" w:eastAsia="bs-Latn-BA"/>
        </w:rPr>
        <w:t xml:space="preserve">Hercegovačko-neretvanskom kantonu </w:t>
      </w:r>
      <w:r w:rsidRPr="006C69B9">
        <w:rPr>
          <w:rFonts w:ascii="Calibri" w:eastAsia="Calibri" w:hAnsi="Calibri" w:cs="Times New Roman"/>
          <w:lang w:val="bs-Latn-BA"/>
        </w:rPr>
        <w:t xml:space="preserve">se povećala za 11,96% (sa 890 KM u 2015. godini na 1.011 KM u 2019. godini), a najznačajniji rast je primjećen u djelatnostima Administrativne i pomoćne uslužne djelatnosti (66,83%), Umjetnost, zabava i rekreacija (34,41%), te Zdravstvo i socijalni rad (24,75%). Nasuprot ovim industrijama, do značajnog smanjenja prosječne isplaćene neto plaće došlo je  u djelatnosti Stručne, naučne i tehničke djelatnosti (32,60%), te u djelatnosti Poslovanje sa nekretninama (11,91%). </w:t>
      </w:r>
    </w:p>
    <w:p w:rsidR="006C69B9" w:rsidRPr="006C69B9" w:rsidRDefault="006C69B9" w:rsidP="006C69B9">
      <w:pPr>
        <w:spacing w:after="0" w:line="288" w:lineRule="auto"/>
        <w:jc w:val="both"/>
        <w:rPr>
          <w:rFonts w:ascii="Calibri" w:eastAsia="Calibri" w:hAnsi="Calibri" w:cs="Calibri"/>
          <w:color w:val="000000"/>
          <w:lang w:val="bs-Latn-BA"/>
        </w:rPr>
      </w:pPr>
      <w:r w:rsidRPr="006C69B9">
        <w:rPr>
          <w:rFonts w:ascii="Calibri" w:eastAsia="Calibri" w:hAnsi="Calibri" w:cs="Calibri"/>
          <w:b/>
          <w:color w:val="000000"/>
          <w:lang w:val="bs-Latn-BA"/>
        </w:rPr>
        <w:lastRenderedPageBreak/>
        <w:t>Umirovljenici.</w:t>
      </w:r>
      <w:r w:rsidRPr="006C69B9">
        <w:rPr>
          <w:rFonts w:ascii="Calibri" w:eastAsia="Calibri" w:hAnsi="Calibri" w:cs="Calibri"/>
          <w:color w:val="000000"/>
          <w:lang w:val="bs-Latn-BA"/>
        </w:rPr>
        <w:t xml:space="preserve"> Ukupan broj umirovljenika u FBiH u prosincu 2019. godine iznosi 424.009, što je za 1,7% više nego u prethodnoj godini. U HNK broj umirovljenika u prosincu 2019. godine iznosi 38.605 što je za 0,9 % više u odnosu na prethodnu godinu i što je 9,1% od ukupnog broja umirovljenika u FBiH.Broj umirovljenika se povećao u svim općinama HNž, a najviše u Neumu za 2,4% i Jablanici za 1,3% u odnosu na prethodnu godinu. Prosječna isplaćena mirovina u FBiH u prosincu 2019. godine iznosila je 416 KM, što je više za 4,4 %, dok u HNK prosječna isplaćena mirovina iznosi 465 KM što je više za 5,3% u odnosu na prethodnu godinu. Povećanje prosječne isplaćene mirovine zabilježeno je u svim općinama HNK, najviše u Prozoru za 6,3%, Čapljini i Neumu za 6,2%.</w:t>
      </w:r>
    </w:p>
    <w:p w:rsidR="006C69B9" w:rsidRPr="006C69B9" w:rsidRDefault="006C69B9" w:rsidP="006C69B9">
      <w:pPr>
        <w:spacing w:after="0" w:line="293" w:lineRule="auto"/>
        <w:jc w:val="both"/>
        <w:rPr>
          <w:rFonts w:ascii="Calibri" w:eastAsia="Calibri" w:hAnsi="Calibri" w:cs="Calibri"/>
          <w:color w:val="000000"/>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47</w:t>
      </w:r>
      <w:r w:rsidR="009F107E" w:rsidRPr="006C69B9">
        <w:rPr>
          <w:rFonts w:ascii="Calibri" w:eastAsia="Calibri" w:hAnsi="Calibri" w:cs="Calibri Light"/>
          <w:bCs/>
          <w:i/>
          <w:noProof/>
          <w:color w:val="31849B"/>
          <w:sz w:val="20"/>
        </w:rPr>
        <w:fldChar w:fldCharType="end"/>
      </w:r>
      <w:r w:rsidRPr="006C69B9">
        <w:rPr>
          <w:rFonts w:ascii="Calibri" w:eastAsia="Calibri" w:hAnsi="Calibri" w:cs="Calibri Light"/>
          <w:bCs/>
          <w:i/>
          <w:color w:val="31849B"/>
          <w:sz w:val="20"/>
        </w:rPr>
        <w:t xml:space="preserve"> Broj umirovljenika i mirovina  po općinama HNŽ 2019</w:t>
      </w:r>
    </w:p>
    <w:tbl>
      <w:tblPr>
        <w:tblStyle w:val="MediumGrid3-Accent51"/>
        <w:tblW w:w="8625" w:type="dxa"/>
        <w:jc w:val="center"/>
        <w:tblLayout w:type="fixed"/>
        <w:tblLook w:val="06E0"/>
      </w:tblPr>
      <w:tblGrid>
        <w:gridCol w:w="3364"/>
        <w:gridCol w:w="1691"/>
        <w:gridCol w:w="1940"/>
        <w:gridCol w:w="1630"/>
      </w:tblGrid>
      <w:tr w:rsidR="00F85905" w:rsidRPr="006C69B9" w:rsidTr="006C69B9">
        <w:trPr>
          <w:cnfStyle w:val="100000000000"/>
          <w:trHeight w:val="529"/>
          <w:jc w:val="center"/>
        </w:trPr>
        <w:tc>
          <w:tcPr>
            <w:cnfStyle w:val="001000000000"/>
            <w:tcW w:w="3364" w:type="dxa"/>
            <w:vAlign w:val="center"/>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Calibri"/>
                <w:sz w:val="20"/>
                <w:szCs w:val="20"/>
                <w:lang w:val="bs-Latn-BA"/>
              </w:rPr>
              <w:t>Općine</w:t>
            </w:r>
          </w:p>
        </w:tc>
        <w:tc>
          <w:tcPr>
            <w:tcW w:w="1691" w:type="dxa"/>
            <w:vAlign w:val="center"/>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w:t>
            </w:r>
          </w:p>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penzionera</w:t>
            </w:r>
          </w:p>
        </w:tc>
        <w:tc>
          <w:tcPr>
            <w:tcW w:w="1940" w:type="dxa"/>
            <w:vAlign w:val="center"/>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Ukupan iznos isplaćenih penzija</w:t>
            </w:r>
          </w:p>
        </w:tc>
        <w:tc>
          <w:tcPr>
            <w:tcW w:w="1630" w:type="dxa"/>
            <w:vAlign w:val="center"/>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Prosječna penzija u KM</w:t>
            </w:r>
          </w:p>
        </w:tc>
      </w:tr>
      <w:tr w:rsidR="00F85905" w:rsidRPr="006C69B9" w:rsidTr="006C69B9">
        <w:trPr>
          <w:trHeight w:val="227"/>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Čapljina</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4.104</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1.836.655</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448</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Čitluk</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2.471</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1.089.720</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441</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Jablanica</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1.963</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889.067</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453</w:t>
            </w:r>
          </w:p>
        </w:tc>
      </w:tr>
      <w:tr w:rsidR="00F85905" w:rsidRPr="006C69B9" w:rsidTr="006C69B9">
        <w:trPr>
          <w:trHeight w:val="227"/>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Konjic</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4.619</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1.983.257</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429</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Mostar</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21.460</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10.528.277</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491</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Neum</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472</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224.590</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476</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Prozor</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1.335</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512.429</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384</w:t>
            </w:r>
          </w:p>
        </w:tc>
      </w:tr>
      <w:tr w:rsidR="00F85905" w:rsidRPr="006C69B9" w:rsidTr="006C69B9">
        <w:trPr>
          <w:trHeight w:val="227"/>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Ravno</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52</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21.359</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411</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Stolac</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2.129</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853.962</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401</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Hercegovačko - neretvanski</w:t>
            </w:r>
          </w:p>
        </w:tc>
        <w:tc>
          <w:tcPr>
            <w:tcW w:w="1691" w:type="dxa"/>
            <w:shd w:val="clear" w:color="auto" w:fill="4BACC6"/>
          </w:tcPr>
          <w:p w:rsidR="006C69B9" w:rsidRPr="006C69B9" w:rsidRDefault="006C69B9" w:rsidP="006C69B9">
            <w:pPr>
              <w:spacing w:line="276" w:lineRule="auto"/>
              <w:jc w:val="center"/>
              <w:cnfStyle w:val="000000000000"/>
              <w:rPr>
                <w:rFonts w:ascii="Calibri" w:eastAsia="Calibri" w:hAnsi="Calibri" w:cs="Calibri"/>
                <w:color w:val="FFFFFF"/>
                <w:sz w:val="20"/>
                <w:szCs w:val="20"/>
                <w:lang w:val="bs-Latn-BA"/>
              </w:rPr>
            </w:pPr>
            <w:r w:rsidRPr="006C69B9">
              <w:rPr>
                <w:rFonts w:ascii="Calibri" w:eastAsia="Calibri" w:hAnsi="Calibri" w:cs="Calibri"/>
                <w:b/>
                <w:color w:val="FFFFFF"/>
                <w:sz w:val="20"/>
                <w:szCs w:val="20"/>
                <w:lang w:val="bs-Latn-BA"/>
              </w:rPr>
              <w:t>38.605</w:t>
            </w:r>
          </w:p>
        </w:tc>
        <w:tc>
          <w:tcPr>
            <w:tcW w:w="1940" w:type="dxa"/>
            <w:shd w:val="clear" w:color="auto" w:fill="4BACC6"/>
          </w:tcPr>
          <w:p w:rsidR="006C69B9" w:rsidRPr="006C69B9" w:rsidRDefault="006C69B9" w:rsidP="006C69B9">
            <w:pPr>
              <w:spacing w:line="276" w:lineRule="auto"/>
              <w:jc w:val="center"/>
              <w:cnfStyle w:val="000000000000"/>
              <w:rPr>
                <w:rFonts w:ascii="Calibri" w:eastAsia="Calibri" w:hAnsi="Calibri" w:cs="Calibri"/>
                <w:color w:val="FFFFFF"/>
                <w:sz w:val="20"/>
                <w:szCs w:val="20"/>
                <w:lang w:val="bs-Latn-BA"/>
              </w:rPr>
            </w:pPr>
            <w:r w:rsidRPr="006C69B9">
              <w:rPr>
                <w:rFonts w:ascii="Calibri" w:eastAsia="Calibri" w:hAnsi="Calibri" w:cs="Calibri"/>
                <w:b/>
                <w:color w:val="FFFFFF"/>
                <w:sz w:val="20"/>
                <w:szCs w:val="20"/>
                <w:lang w:val="bs-Latn-BA"/>
              </w:rPr>
              <w:t>17.939.317</w:t>
            </w:r>
          </w:p>
        </w:tc>
        <w:tc>
          <w:tcPr>
            <w:tcW w:w="1630" w:type="dxa"/>
            <w:shd w:val="clear" w:color="auto" w:fill="4BACC6"/>
          </w:tcPr>
          <w:p w:rsidR="006C69B9" w:rsidRPr="006C69B9" w:rsidRDefault="006C69B9" w:rsidP="006C69B9">
            <w:pPr>
              <w:spacing w:line="276" w:lineRule="auto"/>
              <w:jc w:val="center"/>
              <w:cnfStyle w:val="000000000000"/>
              <w:rPr>
                <w:rFonts w:ascii="Calibri" w:eastAsia="Calibri" w:hAnsi="Calibri" w:cs="Calibri"/>
                <w:color w:val="FFFFFF"/>
                <w:sz w:val="20"/>
                <w:szCs w:val="20"/>
                <w:lang w:val="bs-Latn-BA"/>
              </w:rPr>
            </w:pPr>
            <w:r w:rsidRPr="006C69B9">
              <w:rPr>
                <w:rFonts w:ascii="Calibri" w:eastAsia="Calibri" w:hAnsi="Calibri" w:cs="Calibri"/>
                <w:b/>
                <w:color w:val="FFFFFF"/>
                <w:sz w:val="20"/>
                <w:szCs w:val="20"/>
                <w:lang w:val="bs-Latn-BA"/>
              </w:rPr>
              <w:t>465</w:t>
            </w:r>
          </w:p>
        </w:tc>
      </w:tr>
      <w:tr w:rsidR="00F85905" w:rsidRPr="006C69B9" w:rsidTr="006C69B9">
        <w:trPr>
          <w:trHeight w:val="227"/>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Federacija BiH</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b/>
                <w:color w:val="000000"/>
                <w:sz w:val="20"/>
                <w:szCs w:val="20"/>
                <w:lang w:val="bs-Latn-BA"/>
              </w:rPr>
              <w:t>352.438</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b/>
                <w:color w:val="000000"/>
                <w:sz w:val="20"/>
                <w:szCs w:val="20"/>
                <w:lang w:val="bs-Latn-BA"/>
              </w:rPr>
              <w:t>160.669.987</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Calibri"/>
                <w:b/>
                <w:color w:val="000000"/>
                <w:sz w:val="20"/>
                <w:szCs w:val="20"/>
                <w:lang w:val="bs-Latn-BA"/>
              </w:rPr>
              <w:t>456</w:t>
            </w:r>
          </w:p>
        </w:tc>
      </w:tr>
      <w:tr w:rsidR="00F85905" w:rsidRPr="006C69B9" w:rsidTr="006C69B9">
        <w:trPr>
          <w:cnfStyle w:val="010000000000"/>
          <w:trHeight w:val="235"/>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UKUPNO PIO FBiH</w:t>
            </w:r>
          </w:p>
        </w:tc>
        <w:tc>
          <w:tcPr>
            <w:tcW w:w="1691" w:type="dxa"/>
          </w:tcPr>
          <w:p w:rsidR="006C69B9" w:rsidRPr="006C69B9" w:rsidRDefault="006C69B9" w:rsidP="006C69B9">
            <w:pPr>
              <w:spacing w:line="276" w:lineRule="auto"/>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424.009</w:t>
            </w:r>
          </w:p>
        </w:tc>
        <w:tc>
          <w:tcPr>
            <w:tcW w:w="1940" w:type="dxa"/>
          </w:tcPr>
          <w:p w:rsidR="006C69B9" w:rsidRPr="006C69B9" w:rsidRDefault="006C69B9" w:rsidP="006C69B9">
            <w:pPr>
              <w:spacing w:line="276" w:lineRule="auto"/>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176.577.500</w:t>
            </w:r>
          </w:p>
        </w:tc>
        <w:tc>
          <w:tcPr>
            <w:tcW w:w="1630" w:type="dxa"/>
          </w:tcPr>
          <w:p w:rsidR="006C69B9" w:rsidRPr="006C69B9" w:rsidRDefault="006C69B9" w:rsidP="006C69B9">
            <w:pPr>
              <w:spacing w:line="276" w:lineRule="auto"/>
              <w:jc w:val="center"/>
              <w:cnfStyle w:val="010000000000"/>
              <w:rPr>
                <w:rFonts w:ascii="Calibri" w:eastAsia="Calibri" w:hAnsi="Calibri" w:cs="Calibri"/>
                <w:sz w:val="20"/>
                <w:szCs w:val="20"/>
                <w:lang w:val="bs-Latn-BA"/>
              </w:rPr>
            </w:pPr>
            <w:r w:rsidRPr="006C69B9">
              <w:rPr>
                <w:rFonts w:ascii="Calibri" w:eastAsia="Calibri" w:hAnsi="Calibri" w:cs="Calibri"/>
                <w:sz w:val="20"/>
                <w:szCs w:val="20"/>
                <w:lang w:val="bs-Latn-BA"/>
              </w:rPr>
              <w:t>416</w:t>
            </w:r>
          </w:p>
        </w:tc>
      </w:tr>
    </w:tbl>
    <w:p w:rsidR="006C69B9" w:rsidRPr="006C69B9" w:rsidRDefault="006C69B9" w:rsidP="006C69B9">
      <w:pPr>
        <w:spacing w:after="0" w:line="170" w:lineRule="auto"/>
        <w:rPr>
          <w:rFonts w:ascii="Arial" w:eastAsia="Arial" w:hAnsi="Arial" w:cs="Arial"/>
          <w:color w:val="000000"/>
          <w:sz w:val="16"/>
          <w:szCs w:val="16"/>
          <w:lang w:val="bs-Latn-BA"/>
        </w:rPr>
      </w:pPr>
    </w:p>
    <w:p w:rsidR="006C69B9" w:rsidRPr="006C69B9" w:rsidRDefault="006C69B9" w:rsidP="006C69B9">
      <w:pPr>
        <w:spacing w:before="240" w:after="0" w:line="240" w:lineRule="auto"/>
        <w:contextualSpacing/>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 xml:space="preserve">                                                         Izvor podataka: (Federalni zavod za statistiku, 2020)</w:t>
      </w:r>
    </w:p>
    <w:p w:rsidR="006C69B9" w:rsidRPr="006C69B9" w:rsidRDefault="006C69B9" w:rsidP="006C69B9">
      <w:pPr>
        <w:spacing w:before="240" w:after="0" w:line="240" w:lineRule="auto"/>
        <w:contextualSpacing/>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 xml:space="preserve">                                                             Obrada: Federalni zavod za programiranje razvoja</w:t>
      </w:r>
    </w:p>
    <w:p w:rsidR="006C69B9" w:rsidRPr="006C69B9" w:rsidRDefault="006C69B9" w:rsidP="006C69B9">
      <w:pPr>
        <w:spacing w:after="0" w:line="211" w:lineRule="auto"/>
        <w:rPr>
          <w:rFonts w:ascii="Arial" w:eastAsia="Arial" w:hAnsi="Arial" w:cs="Arial"/>
          <w:color w:val="000000"/>
          <w:sz w:val="16"/>
          <w:szCs w:val="16"/>
          <w:lang w:val="bs-Latn-BA"/>
        </w:rPr>
      </w:pPr>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30" w:name="_Toc57573217"/>
      <w:r w:rsidRPr="006C69B9">
        <w:rPr>
          <w:rFonts w:ascii="Calibri" w:eastAsia="Calibri" w:hAnsi="Calibri" w:cs="Times New Roman"/>
          <w:b/>
          <w:bCs/>
          <w:iCs/>
          <w:color w:val="31849B"/>
          <w:sz w:val="24"/>
          <w:szCs w:val="28"/>
          <w:lang w:eastAsia="hr-HR"/>
        </w:rPr>
        <w:t>Pregled stanja i kretanja u oblasti društvenog razvoja</w:t>
      </w:r>
      <w:bookmarkEnd w:id="30"/>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31" w:name="_Toc53350350"/>
      <w:bookmarkStart w:id="32" w:name="_Toc57573218"/>
      <w:r w:rsidRPr="006C69B9">
        <w:rPr>
          <w:rFonts w:ascii="Calibri" w:eastAsia="Calibri" w:hAnsi="Calibri" w:cs="Times New Roman"/>
          <w:b/>
          <w:bCs/>
          <w:color w:val="4BACC6"/>
          <w:szCs w:val="26"/>
          <w:lang w:val="bs-Latn-BA" w:eastAsia="hr-HR"/>
        </w:rPr>
        <w:t>Obrazovanje</w:t>
      </w:r>
      <w:bookmarkEnd w:id="31"/>
      <w:bookmarkEnd w:id="32"/>
      <w:r w:rsidRPr="006C69B9">
        <w:rPr>
          <w:rFonts w:ascii="Calibri" w:eastAsia="Calibri" w:hAnsi="Calibri" w:cs="Times New Roman"/>
          <w:b/>
          <w:bCs/>
          <w:color w:val="4BACC6"/>
          <w:szCs w:val="26"/>
          <w:lang w:val="bs-Latn-BA" w:eastAsia="hr-HR"/>
        </w:rPr>
        <w:t xml:space="preserve"> </w:t>
      </w:r>
    </w:p>
    <w:p w:rsidR="006C69B9" w:rsidRPr="006C69B9" w:rsidRDefault="006C69B9" w:rsidP="006C69B9">
      <w:pPr>
        <w:widowControl w:val="0"/>
        <w:autoSpaceDE w:val="0"/>
        <w:autoSpaceDN w:val="0"/>
        <w:spacing w:before="120" w:after="0"/>
        <w:ind w:right="-22"/>
        <w:jc w:val="both"/>
        <w:rPr>
          <w:rFonts w:ascii="Calibri" w:eastAsia="Calibri" w:hAnsi="Calibri" w:cs="Calibri"/>
          <w:lang w:val="bs-Latn-BA"/>
        </w:rPr>
      </w:pPr>
      <w:r w:rsidRPr="006C69B9">
        <w:rPr>
          <w:rFonts w:ascii="Calibri" w:eastAsia="Calibri" w:hAnsi="Calibri" w:cs="Calibri"/>
          <w:lang w:val="bs-Latn-BA"/>
        </w:rPr>
        <w:t xml:space="preserve">Prema Ustavu Federacije Bosne i Hercegovine oblast obrazovanja, odnosno donošenja i provođenja obrazovne politike je u isključivoj nadležnosti županije. </w:t>
      </w:r>
      <w:r w:rsidRPr="006C69B9">
        <w:rPr>
          <w:rFonts w:ascii="Calibri" w:eastAsia="Calibri" w:hAnsi="Calibri" w:cs="Calibri"/>
        </w:rPr>
        <w:t xml:space="preserve">Obrazovanje u HNŽ je organizirano na četiri nivoa: predškolsko, osnovno, srednje i visoko obrazovanje. </w:t>
      </w:r>
      <w:r w:rsidRPr="006C69B9">
        <w:rPr>
          <w:rFonts w:ascii="Calibri" w:eastAsia="Calibri" w:hAnsi="Calibri" w:cs="Calibri"/>
          <w:lang w:val="bs-Latn-BA"/>
        </w:rPr>
        <w:t xml:space="preserve">Na području Hercegovačko-neretvanske županije djelatnost obavlja ukupno 190 obrazovnih ustanova: </w:t>
      </w:r>
      <w:r w:rsidRPr="006C69B9">
        <w:rPr>
          <w:rFonts w:ascii="Calibri" w:eastAsia="Arial Unicode MS" w:hAnsi="Calibri" w:cs="Calibri"/>
          <w:color w:val="000000"/>
          <w:lang w:val="bs-Latn-BA"/>
        </w:rPr>
        <w:t>25 predškolskih ustanova</w:t>
      </w:r>
      <w:r w:rsidRPr="006C69B9">
        <w:rPr>
          <w:rFonts w:ascii="Calibri" w:eastAsia="Calibri" w:hAnsi="Calibri" w:cs="Calibri"/>
          <w:lang w:val="bs-Latn-BA"/>
        </w:rPr>
        <w:t xml:space="preserve">, </w:t>
      </w:r>
      <w:r w:rsidRPr="006C69B9">
        <w:rPr>
          <w:rFonts w:ascii="Calibri" w:eastAsia="Arial Unicode MS" w:hAnsi="Calibri" w:cs="Calibri"/>
          <w:color w:val="000000"/>
          <w:lang w:val="bs-Latn-BA"/>
        </w:rPr>
        <w:t>49 javnih i dvije privatne osnovne škole</w:t>
      </w:r>
      <w:r w:rsidRPr="006C69B9">
        <w:rPr>
          <w:rFonts w:ascii="Calibri" w:eastAsia="Calibri" w:hAnsi="Calibri" w:cs="Calibri"/>
          <w:lang w:val="bs-Latn-BA"/>
        </w:rPr>
        <w:t>, 33 srednje škole, 5 visokoškolskih ustanova i 1 centar za obrazovanje odraslih (Tabela 1.). Kolektivni ugovori u oblasti obrazovanja na nivou Hercegbosanske županije su definirani. Od samog početka pandemije uzrokovane virusom COVID 19, škole su započele s organizacijom i izvedbom online nastave, a usporedno s time organizirana je distribucija donirane računarske opreme koja je proslijeđena školama i djeci slabijeg imovinskog stanja. Heterogenost trenutne situacije očituje se u praksi kao značajni digitalni jaz, u kojemu sve škole nemaju jednake prilike i uvjete.</w:t>
      </w:r>
    </w:p>
    <w:p w:rsidR="006C69B9" w:rsidRPr="006C69B9" w:rsidRDefault="006C69B9" w:rsidP="006C69B9">
      <w:pPr>
        <w:jc w:val="both"/>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Ministarstvo je odgovorno za redovno i detaljno praćenje njihovog rada i funkcionisanja. </w:t>
      </w:r>
    </w:p>
    <w:p w:rsidR="006C69B9" w:rsidRPr="006C69B9" w:rsidRDefault="006C69B9" w:rsidP="006C69B9">
      <w:pPr>
        <w:jc w:val="both"/>
        <w:rPr>
          <w:rFonts w:ascii="Calibri" w:eastAsia="Arial Unicode MS" w:hAnsi="Calibri" w:cs="Calibri"/>
          <w:color w:val="000000"/>
          <w:sz w:val="20"/>
          <w:szCs w:val="20"/>
          <w:lang w:val="bs-Latn-BA"/>
        </w:rPr>
      </w:pPr>
    </w:p>
    <w:p w:rsidR="006C69B9" w:rsidRPr="006C69B9" w:rsidRDefault="006C69B9" w:rsidP="006C69B9">
      <w:pPr>
        <w:jc w:val="both"/>
        <w:rPr>
          <w:rFonts w:ascii="Calibri" w:eastAsia="Arial Unicode MS" w:hAnsi="Calibri" w:cs="Calibri"/>
          <w:color w:val="000000"/>
          <w:sz w:val="20"/>
          <w:szCs w:val="20"/>
          <w:lang w:val="bs-Latn-BA"/>
        </w:rPr>
      </w:pPr>
    </w:p>
    <w:p w:rsidR="006C69B9" w:rsidRPr="006C69B9" w:rsidRDefault="006C69B9" w:rsidP="006C69B9">
      <w:pPr>
        <w:jc w:val="both"/>
        <w:rPr>
          <w:rFonts w:ascii="Calibri" w:eastAsia="Arial Unicode MS" w:hAnsi="Calibri" w:cs="Calibri"/>
          <w:color w:val="000000"/>
          <w:sz w:val="20"/>
          <w:szCs w:val="20"/>
          <w:lang w:val="bs-Latn-BA"/>
        </w:rPr>
      </w:pPr>
    </w:p>
    <w:p w:rsidR="006C69B9" w:rsidRPr="006C69B9" w:rsidRDefault="006C69B9" w:rsidP="006C69B9">
      <w:pPr>
        <w:jc w:val="center"/>
        <w:rPr>
          <w:rFonts w:ascii="Calibri" w:eastAsia="Arial Unicode MS" w:hAnsi="Calibri" w:cs="Calibri"/>
          <w:color w:val="215868"/>
          <w:sz w:val="20"/>
          <w:szCs w:val="20"/>
          <w:lang w:val="bs-Latn-BA"/>
        </w:rPr>
      </w:pPr>
      <w:r w:rsidRPr="006C69B9">
        <w:rPr>
          <w:rFonts w:ascii="Calibri" w:eastAsia="Arial Unicode MS" w:hAnsi="Calibri" w:cs="Calibri"/>
          <w:color w:val="215868"/>
          <w:sz w:val="20"/>
          <w:szCs w:val="20"/>
          <w:lang w:val="bs-Latn-BA"/>
        </w:rPr>
        <w:lastRenderedPageBreak/>
        <w:t>Tabela 48. Broj odgojno-obrazovnih ustanova u školskoj 2019./2020. godini</w:t>
      </w:r>
    </w:p>
    <w:tbl>
      <w:tblPr>
        <w:tblStyle w:val="GridTable4-Accent52"/>
        <w:tblW w:w="0" w:type="auto"/>
        <w:tblLook w:val="04A0"/>
      </w:tblPr>
      <w:tblGrid>
        <w:gridCol w:w="8015"/>
        <w:gridCol w:w="1251"/>
      </w:tblGrid>
      <w:tr w:rsidR="006C69B9" w:rsidRPr="006C69B9" w:rsidTr="006C69B9">
        <w:trPr>
          <w:cnfStyle w:val="100000000000"/>
          <w:trHeight w:val="291"/>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 xml:space="preserve">Status  odgojno obrazovne-ustanove </w:t>
            </w:r>
          </w:p>
        </w:tc>
        <w:tc>
          <w:tcPr>
            <w:tcW w:w="1254" w:type="dxa"/>
          </w:tcPr>
          <w:p w:rsidR="006C69B9" w:rsidRPr="006C69B9" w:rsidRDefault="006C69B9" w:rsidP="006C69B9">
            <w:pPr>
              <w:jc w:val="both"/>
              <w:cnfStyle w:val="100000000000"/>
              <w:rPr>
                <w:rFonts w:ascii="Calibri" w:eastAsia="Arial Unicode MS" w:hAnsi="Calibri" w:cs="Calibri"/>
                <w:color w:val="000000"/>
                <w:lang w:val="bs-Latn-BA"/>
              </w:rPr>
            </w:pPr>
            <w:r w:rsidRPr="006C69B9">
              <w:rPr>
                <w:rFonts w:ascii="Calibri" w:eastAsia="Arial Unicode MS" w:hAnsi="Calibri" w:cs="Calibri"/>
                <w:color w:val="000000"/>
                <w:lang w:val="bs-Latn-BA"/>
              </w:rPr>
              <w:t>Broj</w:t>
            </w:r>
          </w:p>
        </w:tc>
      </w:tr>
      <w:tr w:rsidR="006C69B9" w:rsidRPr="006C69B9" w:rsidTr="006C69B9">
        <w:trPr>
          <w:cnfStyle w:val="000000100000"/>
          <w:trHeight w:val="291"/>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Javna predškolska ustanova</w:t>
            </w:r>
          </w:p>
        </w:tc>
        <w:tc>
          <w:tcPr>
            <w:tcW w:w="1254" w:type="dxa"/>
          </w:tcPr>
          <w:p w:rsidR="006C69B9" w:rsidRPr="006C69B9" w:rsidRDefault="006C69B9" w:rsidP="006C69B9">
            <w:pPr>
              <w:jc w:val="both"/>
              <w:cnfStyle w:val="000000100000"/>
              <w:rPr>
                <w:rFonts w:ascii="Calibri" w:eastAsia="Arial Unicode MS" w:hAnsi="Calibri" w:cs="Calibri"/>
                <w:color w:val="000000"/>
                <w:lang w:val="bs-Latn-BA"/>
              </w:rPr>
            </w:pPr>
            <w:r w:rsidRPr="006C69B9">
              <w:rPr>
                <w:rFonts w:ascii="Calibri" w:eastAsia="Arial Unicode MS" w:hAnsi="Calibri" w:cs="Calibri"/>
                <w:color w:val="000000"/>
                <w:lang w:val="bs-Latn-BA"/>
              </w:rPr>
              <w:t>8</w:t>
            </w:r>
          </w:p>
        </w:tc>
      </w:tr>
      <w:tr w:rsidR="006C69B9" w:rsidRPr="006C69B9" w:rsidTr="00D33343">
        <w:trPr>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Privatna predškolska ustanova</w:t>
            </w:r>
          </w:p>
        </w:tc>
        <w:tc>
          <w:tcPr>
            <w:tcW w:w="1254" w:type="dxa"/>
          </w:tcPr>
          <w:p w:rsidR="006C69B9" w:rsidRPr="006C69B9" w:rsidRDefault="006C69B9" w:rsidP="006C69B9">
            <w:pPr>
              <w:jc w:val="both"/>
              <w:cnfStyle w:val="000000000000"/>
              <w:rPr>
                <w:rFonts w:ascii="Calibri" w:eastAsia="Arial Unicode MS" w:hAnsi="Calibri" w:cs="Calibri"/>
                <w:color w:val="000000"/>
                <w:lang w:val="bs-Latn-BA"/>
              </w:rPr>
            </w:pPr>
            <w:r w:rsidRPr="006C69B9">
              <w:rPr>
                <w:rFonts w:ascii="Calibri" w:eastAsia="Arial Unicode MS" w:hAnsi="Calibri" w:cs="Calibri"/>
                <w:color w:val="000000"/>
                <w:lang w:val="bs-Latn-BA"/>
              </w:rPr>
              <w:t>17</w:t>
            </w:r>
          </w:p>
        </w:tc>
      </w:tr>
      <w:tr w:rsidR="006C69B9" w:rsidRPr="006C69B9" w:rsidTr="006C69B9">
        <w:trPr>
          <w:cnfStyle w:val="000000100000"/>
          <w:trHeight w:val="306"/>
        </w:trPr>
        <w:tc>
          <w:tcPr>
            <w:cnfStyle w:val="001000000000"/>
            <w:tcW w:w="8050" w:type="dxa"/>
          </w:tcPr>
          <w:p w:rsidR="006C69B9" w:rsidRPr="006C69B9" w:rsidRDefault="006C69B9" w:rsidP="006C69B9">
            <w:pPr>
              <w:jc w:val="both"/>
              <w:rPr>
                <w:rFonts w:ascii="Calibri" w:eastAsia="Arial Unicode MS" w:hAnsi="Calibri" w:cs="Calibri"/>
                <w:color w:val="000000"/>
                <w:highlight w:val="yellow"/>
                <w:lang w:val="bs-Latn-BA"/>
              </w:rPr>
            </w:pPr>
            <w:r w:rsidRPr="006C69B9">
              <w:rPr>
                <w:rFonts w:ascii="Calibri" w:eastAsia="Arial Unicode MS" w:hAnsi="Calibri" w:cs="Calibri"/>
                <w:color w:val="000000"/>
                <w:lang w:val="bs-Latn-BA"/>
              </w:rPr>
              <w:t>Ukupno predškolskih ustanova</w:t>
            </w:r>
          </w:p>
        </w:tc>
        <w:tc>
          <w:tcPr>
            <w:tcW w:w="1254" w:type="dxa"/>
          </w:tcPr>
          <w:p w:rsidR="006C69B9" w:rsidRPr="006C69B9" w:rsidRDefault="006C69B9" w:rsidP="006C69B9">
            <w:pPr>
              <w:jc w:val="both"/>
              <w:cnfStyle w:val="000000100000"/>
              <w:rPr>
                <w:rFonts w:ascii="Calibri" w:eastAsia="Arial Unicode MS" w:hAnsi="Calibri" w:cs="Calibri"/>
                <w:b/>
                <w:color w:val="000000"/>
                <w:highlight w:val="yellow"/>
                <w:lang w:val="bs-Latn-BA"/>
              </w:rPr>
            </w:pPr>
            <w:r w:rsidRPr="006C69B9">
              <w:rPr>
                <w:rFonts w:ascii="Calibri" w:eastAsia="Arial Unicode MS" w:hAnsi="Calibri" w:cs="Calibri"/>
                <w:b/>
                <w:color w:val="000000"/>
                <w:lang w:val="bs-Latn-BA"/>
              </w:rPr>
              <w:t>25</w:t>
            </w:r>
          </w:p>
        </w:tc>
      </w:tr>
      <w:tr w:rsidR="006C69B9" w:rsidRPr="006C69B9" w:rsidTr="00D33343">
        <w:trPr>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Javna redovna osnovna škola</w:t>
            </w:r>
          </w:p>
        </w:tc>
        <w:tc>
          <w:tcPr>
            <w:tcW w:w="1254" w:type="dxa"/>
          </w:tcPr>
          <w:p w:rsidR="006C69B9" w:rsidRPr="006C69B9" w:rsidRDefault="006C69B9" w:rsidP="006C69B9">
            <w:pPr>
              <w:jc w:val="both"/>
              <w:cnfStyle w:val="000000000000"/>
              <w:rPr>
                <w:rFonts w:ascii="Calibri" w:eastAsia="Arial Unicode MS" w:hAnsi="Calibri" w:cs="Calibri"/>
                <w:color w:val="000000"/>
                <w:lang w:val="bs-Latn-BA"/>
              </w:rPr>
            </w:pPr>
            <w:r w:rsidRPr="006C69B9">
              <w:rPr>
                <w:rFonts w:ascii="Calibri" w:eastAsia="Arial Unicode MS" w:hAnsi="Calibri" w:cs="Calibri"/>
                <w:color w:val="000000"/>
                <w:lang w:val="bs-Latn-BA"/>
              </w:rPr>
              <w:t>48</w:t>
            </w:r>
          </w:p>
        </w:tc>
      </w:tr>
      <w:tr w:rsidR="006C69B9" w:rsidRPr="006C69B9" w:rsidTr="006C69B9">
        <w:trPr>
          <w:cnfStyle w:val="000000100000"/>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Javna muzička škola</w:t>
            </w:r>
          </w:p>
        </w:tc>
        <w:tc>
          <w:tcPr>
            <w:tcW w:w="1254" w:type="dxa"/>
          </w:tcPr>
          <w:p w:rsidR="006C69B9" w:rsidRPr="006C69B9" w:rsidRDefault="006C69B9" w:rsidP="006C69B9">
            <w:pPr>
              <w:jc w:val="both"/>
              <w:cnfStyle w:val="000000100000"/>
              <w:rPr>
                <w:rFonts w:ascii="Calibri" w:eastAsia="Arial Unicode MS" w:hAnsi="Calibri" w:cs="Calibri"/>
                <w:color w:val="000000"/>
                <w:lang w:val="bs-Latn-BA"/>
              </w:rPr>
            </w:pPr>
            <w:r w:rsidRPr="006C69B9">
              <w:rPr>
                <w:rFonts w:ascii="Calibri" w:eastAsia="Arial Unicode MS" w:hAnsi="Calibri" w:cs="Calibri"/>
                <w:color w:val="000000"/>
                <w:lang w:val="bs-Latn-BA"/>
              </w:rPr>
              <w:t>1</w:t>
            </w:r>
          </w:p>
        </w:tc>
      </w:tr>
      <w:tr w:rsidR="006C69B9" w:rsidRPr="006C69B9" w:rsidTr="00D33343">
        <w:trPr>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Privatna redovna škola</w:t>
            </w:r>
          </w:p>
        </w:tc>
        <w:tc>
          <w:tcPr>
            <w:tcW w:w="1254" w:type="dxa"/>
          </w:tcPr>
          <w:p w:rsidR="006C69B9" w:rsidRPr="006C69B9" w:rsidRDefault="006C69B9" w:rsidP="006C69B9">
            <w:pPr>
              <w:jc w:val="both"/>
              <w:cnfStyle w:val="000000000000"/>
              <w:rPr>
                <w:rFonts w:ascii="Calibri" w:eastAsia="Arial Unicode MS" w:hAnsi="Calibri" w:cs="Calibri"/>
                <w:color w:val="000000"/>
                <w:lang w:val="bs-Latn-BA"/>
              </w:rPr>
            </w:pPr>
            <w:r w:rsidRPr="006C69B9">
              <w:rPr>
                <w:rFonts w:ascii="Calibri" w:eastAsia="Arial Unicode MS" w:hAnsi="Calibri" w:cs="Calibri"/>
                <w:color w:val="000000"/>
                <w:lang w:val="bs-Latn-BA"/>
              </w:rPr>
              <w:t>1</w:t>
            </w:r>
          </w:p>
        </w:tc>
      </w:tr>
      <w:tr w:rsidR="006C69B9" w:rsidRPr="006C69B9" w:rsidTr="006C69B9">
        <w:trPr>
          <w:cnfStyle w:val="000000100000"/>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Privatna muzička škola</w:t>
            </w:r>
          </w:p>
        </w:tc>
        <w:tc>
          <w:tcPr>
            <w:tcW w:w="1254" w:type="dxa"/>
          </w:tcPr>
          <w:p w:rsidR="006C69B9" w:rsidRPr="006C69B9" w:rsidRDefault="006C69B9" w:rsidP="006C69B9">
            <w:pPr>
              <w:jc w:val="both"/>
              <w:cnfStyle w:val="000000100000"/>
              <w:rPr>
                <w:rFonts w:ascii="Calibri" w:eastAsia="Arial Unicode MS" w:hAnsi="Calibri" w:cs="Calibri"/>
                <w:color w:val="000000"/>
                <w:lang w:val="bs-Latn-BA"/>
              </w:rPr>
            </w:pPr>
            <w:r w:rsidRPr="006C69B9">
              <w:rPr>
                <w:rFonts w:ascii="Calibri" w:eastAsia="Arial Unicode MS" w:hAnsi="Calibri" w:cs="Calibri"/>
                <w:color w:val="000000"/>
                <w:lang w:val="bs-Latn-BA"/>
              </w:rPr>
              <w:t>1</w:t>
            </w:r>
          </w:p>
        </w:tc>
      </w:tr>
      <w:tr w:rsidR="006C69B9" w:rsidRPr="006C69B9" w:rsidTr="00D33343">
        <w:trPr>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Ukupno osnovnih škola</w:t>
            </w:r>
          </w:p>
        </w:tc>
        <w:tc>
          <w:tcPr>
            <w:tcW w:w="1254" w:type="dxa"/>
          </w:tcPr>
          <w:p w:rsidR="006C69B9" w:rsidRPr="006C69B9" w:rsidRDefault="006C69B9" w:rsidP="006C69B9">
            <w:pPr>
              <w:jc w:val="both"/>
              <w:cnfStyle w:val="000000000000"/>
              <w:rPr>
                <w:rFonts w:ascii="Calibri" w:eastAsia="Arial Unicode MS" w:hAnsi="Calibri" w:cs="Calibri"/>
                <w:b/>
                <w:color w:val="000000"/>
                <w:lang w:val="bs-Latn-BA"/>
              </w:rPr>
            </w:pPr>
            <w:r w:rsidRPr="006C69B9">
              <w:rPr>
                <w:rFonts w:ascii="Calibri" w:eastAsia="Arial Unicode MS" w:hAnsi="Calibri" w:cs="Calibri"/>
                <w:b/>
                <w:color w:val="000000"/>
                <w:lang w:val="bs-Latn-BA"/>
              </w:rPr>
              <w:t>51</w:t>
            </w:r>
          </w:p>
        </w:tc>
      </w:tr>
      <w:tr w:rsidR="006C69B9" w:rsidRPr="006C69B9" w:rsidTr="006C69B9">
        <w:trPr>
          <w:cnfStyle w:val="000000100000"/>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Javna redovna srednja škola</w:t>
            </w:r>
          </w:p>
        </w:tc>
        <w:tc>
          <w:tcPr>
            <w:tcW w:w="1254" w:type="dxa"/>
          </w:tcPr>
          <w:p w:rsidR="006C69B9" w:rsidRPr="006C69B9" w:rsidRDefault="006C69B9" w:rsidP="006C69B9">
            <w:pPr>
              <w:jc w:val="both"/>
              <w:cnfStyle w:val="000000100000"/>
              <w:rPr>
                <w:rFonts w:ascii="Calibri" w:eastAsia="Arial Unicode MS" w:hAnsi="Calibri" w:cs="Calibri"/>
                <w:color w:val="000000"/>
                <w:lang w:val="bs-Latn-BA"/>
              </w:rPr>
            </w:pPr>
            <w:r w:rsidRPr="006C69B9">
              <w:rPr>
                <w:rFonts w:ascii="Calibri" w:eastAsia="Arial Unicode MS" w:hAnsi="Calibri" w:cs="Calibri"/>
                <w:color w:val="000000"/>
                <w:lang w:val="bs-Latn-BA"/>
              </w:rPr>
              <w:t>26</w:t>
            </w:r>
          </w:p>
        </w:tc>
      </w:tr>
      <w:tr w:rsidR="006C69B9" w:rsidRPr="006C69B9" w:rsidTr="00D33343">
        <w:trPr>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Privatna redovna srednja škola koju finansira Kanton</w:t>
            </w:r>
          </w:p>
        </w:tc>
        <w:tc>
          <w:tcPr>
            <w:tcW w:w="1254" w:type="dxa"/>
          </w:tcPr>
          <w:p w:rsidR="006C69B9" w:rsidRPr="006C69B9" w:rsidRDefault="006C69B9" w:rsidP="006C69B9">
            <w:pPr>
              <w:jc w:val="both"/>
              <w:cnfStyle w:val="000000000000"/>
              <w:rPr>
                <w:rFonts w:ascii="Calibri" w:eastAsia="Arial Unicode MS" w:hAnsi="Calibri" w:cs="Calibri"/>
                <w:color w:val="000000"/>
                <w:lang w:val="bs-Latn-BA"/>
              </w:rPr>
            </w:pPr>
            <w:r w:rsidRPr="006C69B9">
              <w:rPr>
                <w:rFonts w:ascii="Calibri" w:eastAsia="Arial Unicode MS" w:hAnsi="Calibri" w:cs="Calibri"/>
                <w:color w:val="000000"/>
                <w:lang w:val="bs-Latn-BA"/>
              </w:rPr>
              <w:t>1</w:t>
            </w:r>
          </w:p>
        </w:tc>
      </w:tr>
      <w:tr w:rsidR="006C69B9" w:rsidRPr="006C69B9" w:rsidTr="006C69B9">
        <w:trPr>
          <w:cnfStyle w:val="000000100000"/>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Privatna redovna srednja škola</w:t>
            </w:r>
          </w:p>
        </w:tc>
        <w:tc>
          <w:tcPr>
            <w:tcW w:w="1254" w:type="dxa"/>
          </w:tcPr>
          <w:p w:rsidR="006C69B9" w:rsidRPr="006C69B9" w:rsidRDefault="006C69B9" w:rsidP="006C69B9">
            <w:pPr>
              <w:jc w:val="both"/>
              <w:cnfStyle w:val="000000100000"/>
              <w:rPr>
                <w:rFonts w:ascii="Calibri" w:eastAsia="Arial Unicode MS" w:hAnsi="Calibri" w:cs="Calibri"/>
                <w:color w:val="000000"/>
                <w:lang w:val="bs-Latn-BA"/>
              </w:rPr>
            </w:pPr>
            <w:r w:rsidRPr="006C69B9">
              <w:rPr>
                <w:rFonts w:ascii="Calibri" w:eastAsia="Arial Unicode MS" w:hAnsi="Calibri" w:cs="Calibri"/>
                <w:color w:val="000000"/>
                <w:lang w:val="bs-Latn-BA"/>
              </w:rPr>
              <w:t>2</w:t>
            </w:r>
          </w:p>
        </w:tc>
      </w:tr>
      <w:tr w:rsidR="006C69B9" w:rsidRPr="006C69B9" w:rsidTr="00D33343">
        <w:trPr>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Privatna srednja škola za obrazovanje odraslih</w:t>
            </w:r>
          </w:p>
        </w:tc>
        <w:tc>
          <w:tcPr>
            <w:tcW w:w="1254" w:type="dxa"/>
          </w:tcPr>
          <w:p w:rsidR="006C69B9" w:rsidRPr="006C69B9" w:rsidRDefault="006C69B9" w:rsidP="006C69B9">
            <w:pPr>
              <w:jc w:val="both"/>
              <w:cnfStyle w:val="000000000000"/>
              <w:rPr>
                <w:rFonts w:ascii="Calibri" w:eastAsia="Arial Unicode MS" w:hAnsi="Calibri" w:cs="Calibri"/>
                <w:color w:val="000000"/>
                <w:lang w:val="bs-Latn-BA"/>
              </w:rPr>
            </w:pPr>
            <w:r w:rsidRPr="006C69B9">
              <w:rPr>
                <w:rFonts w:ascii="Calibri" w:eastAsia="Arial Unicode MS" w:hAnsi="Calibri" w:cs="Calibri"/>
                <w:color w:val="000000"/>
                <w:lang w:val="bs-Latn-BA"/>
              </w:rPr>
              <w:t>4</w:t>
            </w:r>
          </w:p>
        </w:tc>
      </w:tr>
      <w:tr w:rsidR="006C69B9" w:rsidRPr="006C69B9" w:rsidTr="006C69B9">
        <w:trPr>
          <w:cnfStyle w:val="000000100000"/>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Ukupno srednjih škola</w:t>
            </w:r>
          </w:p>
        </w:tc>
        <w:tc>
          <w:tcPr>
            <w:tcW w:w="1254" w:type="dxa"/>
          </w:tcPr>
          <w:p w:rsidR="006C69B9" w:rsidRPr="006C69B9" w:rsidRDefault="006C69B9" w:rsidP="006C69B9">
            <w:pPr>
              <w:jc w:val="both"/>
              <w:cnfStyle w:val="000000100000"/>
              <w:rPr>
                <w:rFonts w:ascii="Calibri" w:eastAsia="Arial Unicode MS" w:hAnsi="Calibri" w:cs="Calibri"/>
                <w:b/>
                <w:color w:val="000000"/>
                <w:lang w:val="bs-Latn-BA"/>
              </w:rPr>
            </w:pPr>
            <w:r w:rsidRPr="006C69B9">
              <w:rPr>
                <w:rFonts w:ascii="Calibri" w:eastAsia="Arial Unicode MS" w:hAnsi="Calibri" w:cs="Calibri"/>
                <w:b/>
                <w:color w:val="000000"/>
                <w:lang w:val="bs-Latn-BA"/>
              </w:rPr>
              <w:t>33</w:t>
            </w:r>
          </w:p>
        </w:tc>
      </w:tr>
      <w:tr w:rsidR="006C69B9" w:rsidRPr="006C69B9" w:rsidTr="00D33343">
        <w:trPr>
          <w:trHeight w:val="306"/>
        </w:trPr>
        <w:tc>
          <w:tcPr>
            <w:cnfStyle w:val="001000000000"/>
            <w:tcW w:w="8050" w:type="dxa"/>
          </w:tcPr>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UKUPNO</w:t>
            </w:r>
          </w:p>
        </w:tc>
        <w:tc>
          <w:tcPr>
            <w:tcW w:w="1254" w:type="dxa"/>
          </w:tcPr>
          <w:p w:rsidR="006C69B9" w:rsidRPr="006C69B9" w:rsidRDefault="006C69B9" w:rsidP="006C69B9">
            <w:pPr>
              <w:jc w:val="both"/>
              <w:cnfStyle w:val="000000000000"/>
              <w:rPr>
                <w:rFonts w:ascii="Calibri" w:eastAsia="Arial Unicode MS" w:hAnsi="Calibri" w:cs="Calibri"/>
                <w:b/>
                <w:color w:val="000000"/>
                <w:lang w:val="bs-Latn-BA"/>
              </w:rPr>
            </w:pPr>
            <w:r w:rsidRPr="006C69B9">
              <w:rPr>
                <w:rFonts w:ascii="Calibri" w:eastAsia="Arial Unicode MS" w:hAnsi="Calibri" w:cs="Calibri"/>
                <w:b/>
                <w:color w:val="000000"/>
                <w:lang w:val="bs-Latn-BA"/>
              </w:rPr>
              <w:t>109</w:t>
            </w:r>
          </w:p>
        </w:tc>
      </w:tr>
    </w:tbl>
    <w:p w:rsidR="006C69B9" w:rsidRPr="006C69B9" w:rsidRDefault="006C69B9" w:rsidP="006C69B9">
      <w:pPr>
        <w:widowControl w:val="0"/>
        <w:autoSpaceDE w:val="0"/>
        <w:autoSpaceDN w:val="0"/>
        <w:spacing w:before="120" w:after="0"/>
        <w:ind w:right="493"/>
        <w:jc w:val="both"/>
        <w:rPr>
          <w:rFonts w:ascii="Calibri" w:eastAsia="Calibri" w:hAnsi="Calibri" w:cs="Calibri"/>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49</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Broj obrazovnih ustanova i učenika prema nivou obrazovanja 2018/19.</w:t>
      </w:r>
    </w:p>
    <w:tbl>
      <w:tblPr>
        <w:tblStyle w:val="MediumGrid3-Accent51"/>
        <w:tblW w:w="7064" w:type="dxa"/>
        <w:jc w:val="center"/>
        <w:tblLayout w:type="fixed"/>
        <w:tblLook w:val="06E0"/>
      </w:tblPr>
      <w:tblGrid>
        <w:gridCol w:w="957"/>
        <w:gridCol w:w="2922"/>
        <w:gridCol w:w="1486"/>
        <w:gridCol w:w="1699"/>
      </w:tblGrid>
      <w:tr w:rsidR="00F85905" w:rsidRPr="006C69B9" w:rsidTr="006C69B9">
        <w:trPr>
          <w:cnfStyle w:val="100000000000"/>
          <w:trHeight w:val="529"/>
          <w:jc w:val="center"/>
        </w:trPr>
        <w:tc>
          <w:tcPr>
            <w:cnfStyle w:val="001000000000"/>
            <w:tcW w:w="3879" w:type="dxa"/>
            <w:gridSpan w:val="2"/>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lang w:val="bs-Latn-BA"/>
              </w:rPr>
              <w:t>Nivo obrazovanja</w:t>
            </w:r>
          </w:p>
        </w:tc>
        <w:tc>
          <w:tcPr>
            <w:tcW w:w="1486"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lang w:val="bs-Latn-BA"/>
              </w:rPr>
              <w:t>Broj ustanova</w:t>
            </w:r>
          </w:p>
        </w:tc>
        <w:tc>
          <w:tcPr>
            <w:tcW w:w="1699"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lang w:val="bs-Latn-BA"/>
              </w:rPr>
              <w:t>Broj djece/učenika</w:t>
            </w:r>
          </w:p>
        </w:tc>
      </w:tr>
      <w:tr w:rsidR="00F85905" w:rsidRPr="006C69B9" w:rsidTr="006C69B9">
        <w:trPr>
          <w:trHeight w:val="227"/>
          <w:jc w:val="center"/>
        </w:trPr>
        <w:tc>
          <w:tcPr>
            <w:cnfStyle w:val="001000000000"/>
            <w:tcW w:w="957"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1.</w:t>
            </w:r>
          </w:p>
        </w:tc>
        <w:tc>
          <w:tcPr>
            <w:tcW w:w="2922" w:type="dxa"/>
          </w:tcPr>
          <w:p w:rsidR="006C69B9" w:rsidRPr="006C69B9" w:rsidRDefault="006C69B9" w:rsidP="006C69B9">
            <w:pPr>
              <w:spacing w:line="276" w:lineRule="auto"/>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Predškolski odgoj i obrazovanje</w:t>
            </w:r>
          </w:p>
        </w:tc>
        <w:tc>
          <w:tcPr>
            <w:tcW w:w="1486"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25</w:t>
            </w:r>
          </w:p>
        </w:tc>
        <w:tc>
          <w:tcPr>
            <w:tcW w:w="1699"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2.519</w:t>
            </w:r>
          </w:p>
        </w:tc>
      </w:tr>
      <w:tr w:rsidR="00F85905" w:rsidRPr="006C69B9" w:rsidTr="006C69B9">
        <w:trPr>
          <w:trHeight w:val="223"/>
          <w:jc w:val="center"/>
        </w:trPr>
        <w:tc>
          <w:tcPr>
            <w:cnfStyle w:val="001000000000"/>
            <w:tcW w:w="957"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2.</w:t>
            </w:r>
          </w:p>
        </w:tc>
        <w:tc>
          <w:tcPr>
            <w:tcW w:w="2922" w:type="dxa"/>
          </w:tcPr>
          <w:p w:rsidR="006C69B9" w:rsidRPr="006C69B9" w:rsidRDefault="006C69B9" w:rsidP="006C69B9">
            <w:pPr>
              <w:spacing w:line="276" w:lineRule="auto"/>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 xml:space="preserve">Osnovni odgoj i obrazovanje  </w:t>
            </w:r>
          </w:p>
        </w:tc>
        <w:tc>
          <w:tcPr>
            <w:tcW w:w="1486"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51</w:t>
            </w:r>
          </w:p>
        </w:tc>
        <w:tc>
          <w:tcPr>
            <w:tcW w:w="1699"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25.540</w:t>
            </w:r>
          </w:p>
        </w:tc>
      </w:tr>
      <w:tr w:rsidR="00F85905" w:rsidRPr="006C69B9" w:rsidTr="006C69B9">
        <w:trPr>
          <w:trHeight w:val="223"/>
          <w:jc w:val="center"/>
        </w:trPr>
        <w:tc>
          <w:tcPr>
            <w:cnfStyle w:val="001000000000"/>
            <w:tcW w:w="957"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3.</w:t>
            </w:r>
          </w:p>
        </w:tc>
        <w:tc>
          <w:tcPr>
            <w:tcW w:w="2922" w:type="dxa"/>
          </w:tcPr>
          <w:p w:rsidR="006C69B9" w:rsidRPr="006C69B9" w:rsidRDefault="006C69B9" w:rsidP="006C69B9">
            <w:pPr>
              <w:spacing w:line="276" w:lineRule="auto"/>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 xml:space="preserve">Srednje obrazovanje i odgoj </w:t>
            </w:r>
          </w:p>
        </w:tc>
        <w:tc>
          <w:tcPr>
            <w:tcW w:w="1486"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33</w:t>
            </w:r>
          </w:p>
        </w:tc>
        <w:tc>
          <w:tcPr>
            <w:tcW w:w="1699"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7.614</w:t>
            </w:r>
          </w:p>
        </w:tc>
      </w:tr>
      <w:tr w:rsidR="00F85905" w:rsidRPr="006C69B9" w:rsidTr="006C69B9">
        <w:trPr>
          <w:trHeight w:val="227"/>
          <w:jc w:val="center"/>
        </w:trPr>
        <w:tc>
          <w:tcPr>
            <w:cnfStyle w:val="001000000000"/>
            <w:tcW w:w="957"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4.</w:t>
            </w:r>
          </w:p>
        </w:tc>
        <w:tc>
          <w:tcPr>
            <w:tcW w:w="2922" w:type="dxa"/>
          </w:tcPr>
          <w:p w:rsidR="006C69B9" w:rsidRPr="006C69B9" w:rsidRDefault="006C69B9" w:rsidP="006C69B9">
            <w:pPr>
              <w:spacing w:line="276" w:lineRule="auto"/>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Visokoškolske ustanove</w:t>
            </w:r>
          </w:p>
        </w:tc>
        <w:tc>
          <w:tcPr>
            <w:tcW w:w="1486"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5</w:t>
            </w:r>
          </w:p>
        </w:tc>
        <w:tc>
          <w:tcPr>
            <w:tcW w:w="1699"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13.452</w:t>
            </w:r>
          </w:p>
        </w:tc>
      </w:tr>
      <w:tr w:rsidR="00F85905" w:rsidRPr="006C69B9" w:rsidTr="006C69B9">
        <w:trPr>
          <w:trHeight w:val="223"/>
          <w:jc w:val="center"/>
        </w:trPr>
        <w:tc>
          <w:tcPr>
            <w:cnfStyle w:val="001000000000"/>
            <w:tcW w:w="957"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Calibri"/>
                <w:sz w:val="20"/>
                <w:szCs w:val="20"/>
                <w:lang w:val="bs-Latn-BA"/>
              </w:rPr>
              <w:t>5.</w:t>
            </w:r>
          </w:p>
        </w:tc>
        <w:tc>
          <w:tcPr>
            <w:tcW w:w="2922" w:type="dxa"/>
          </w:tcPr>
          <w:p w:rsidR="006C69B9" w:rsidRPr="006C69B9" w:rsidRDefault="006C69B9" w:rsidP="006C69B9">
            <w:pPr>
              <w:spacing w:line="276" w:lineRule="auto"/>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Obrazovanje odraslih</w:t>
            </w:r>
          </w:p>
        </w:tc>
        <w:tc>
          <w:tcPr>
            <w:tcW w:w="1486"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w:t>
            </w:r>
          </w:p>
        </w:tc>
        <w:tc>
          <w:tcPr>
            <w:tcW w:w="1699"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26</w:t>
            </w:r>
          </w:p>
        </w:tc>
      </w:tr>
      <w:tr w:rsidR="00F85905" w:rsidRPr="006C69B9" w:rsidTr="006C69B9">
        <w:trPr>
          <w:cnfStyle w:val="010000000000"/>
          <w:trHeight w:val="235"/>
          <w:jc w:val="center"/>
        </w:trPr>
        <w:tc>
          <w:tcPr>
            <w:cnfStyle w:val="001000000000"/>
            <w:tcW w:w="957" w:type="dxa"/>
          </w:tcPr>
          <w:p w:rsidR="006C69B9" w:rsidRPr="006C69B9" w:rsidRDefault="006C69B9" w:rsidP="006C69B9">
            <w:pPr>
              <w:spacing w:line="276" w:lineRule="auto"/>
              <w:rPr>
                <w:rFonts w:ascii="Calibri" w:eastAsia="Calibri" w:hAnsi="Calibri" w:cs="Calibri"/>
                <w:sz w:val="20"/>
                <w:szCs w:val="20"/>
                <w:lang w:val="bs-Latn-BA"/>
              </w:rPr>
            </w:pPr>
          </w:p>
        </w:tc>
        <w:tc>
          <w:tcPr>
            <w:tcW w:w="2922" w:type="dxa"/>
          </w:tcPr>
          <w:p w:rsidR="006C69B9" w:rsidRPr="006C69B9" w:rsidRDefault="006C69B9" w:rsidP="006C69B9">
            <w:pPr>
              <w:spacing w:line="276" w:lineRule="auto"/>
              <w:cnfStyle w:val="01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UKUPNO</w:t>
            </w:r>
          </w:p>
        </w:tc>
        <w:tc>
          <w:tcPr>
            <w:tcW w:w="1486" w:type="dxa"/>
          </w:tcPr>
          <w:p w:rsidR="006C69B9" w:rsidRPr="006C69B9" w:rsidRDefault="006C69B9" w:rsidP="006C69B9">
            <w:pPr>
              <w:spacing w:line="276" w:lineRule="auto"/>
              <w:jc w:val="center"/>
              <w:cnfStyle w:val="01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109</w:t>
            </w:r>
          </w:p>
        </w:tc>
        <w:tc>
          <w:tcPr>
            <w:tcW w:w="1699" w:type="dxa"/>
          </w:tcPr>
          <w:p w:rsidR="006C69B9" w:rsidRPr="006C69B9" w:rsidRDefault="006C69B9" w:rsidP="006C69B9">
            <w:pPr>
              <w:spacing w:line="276" w:lineRule="auto"/>
              <w:jc w:val="center"/>
              <w:cnfStyle w:val="01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49.151</w:t>
            </w:r>
          </w:p>
        </w:tc>
      </w:tr>
    </w:tbl>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Calibri" w:eastAsia="Calibri" w:hAnsi="Calibri" w:cs="Times New Roman"/>
          <w:b/>
          <w:i/>
          <w:sz w:val="18"/>
          <w:szCs w:val="18"/>
          <w:lang w:val="bs-Latn-BA"/>
        </w:rPr>
        <w:t>Izvor podataka: Federalni zavod za statistiku</w:t>
      </w:r>
    </w:p>
    <w:p w:rsidR="006C69B9" w:rsidRPr="006C69B9" w:rsidRDefault="006C69B9" w:rsidP="006C69B9">
      <w:pPr>
        <w:shd w:val="clear" w:color="auto" w:fill="FFFFFF"/>
        <w:spacing w:after="0" w:line="276" w:lineRule="auto"/>
        <w:ind w:firstLine="708"/>
        <w:jc w:val="both"/>
        <w:rPr>
          <w:rFonts w:ascii="Calibri" w:eastAsia="Times New Roman" w:hAnsi="Calibri" w:cs="Calibri"/>
          <w:color w:val="222222"/>
          <w:sz w:val="20"/>
          <w:szCs w:val="20"/>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33" w:name="_Toc53350351"/>
      <w:bookmarkStart w:id="34" w:name="_Toc57573219"/>
      <w:r w:rsidRPr="006C69B9">
        <w:rPr>
          <w:rFonts w:ascii="Calibri" w:eastAsia="Calibri" w:hAnsi="Calibri" w:cs="Times New Roman"/>
          <w:b/>
          <w:bCs/>
          <w:color w:val="4BACC6"/>
          <w:szCs w:val="26"/>
          <w:lang w:val="bs-Latn-BA" w:eastAsia="hr-HR"/>
        </w:rPr>
        <w:t>Predškolski odgoj i obrazovanje</w:t>
      </w:r>
      <w:bookmarkEnd w:id="33"/>
      <w:bookmarkEnd w:id="34"/>
    </w:p>
    <w:p w:rsidR="006C69B9" w:rsidRPr="006C69B9" w:rsidRDefault="006C69B9" w:rsidP="006C69B9">
      <w:pPr>
        <w:widowControl w:val="0"/>
        <w:autoSpaceDE w:val="0"/>
        <w:autoSpaceDN w:val="0"/>
        <w:spacing w:before="116" w:after="0"/>
        <w:ind w:right="493"/>
        <w:jc w:val="both"/>
        <w:rPr>
          <w:rFonts w:ascii="Calibri" w:eastAsia="Calibri" w:hAnsi="Calibri" w:cs="Calibri"/>
          <w:lang w:val="bs-Latn-BA"/>
        </w:rPr>
      </w:pPr>
      <w:r w:rsidRPr="006C69B9">
        <w:rPr>
          <w:rFonts w:ascii="Calibri" w:eastAsia="Calibri" w:hAnsi="Calibri" w:cs="Calibri"/>
          <w:lang w:val="bs-Latn-BA"/>
        </w:rPr>
        <w:t>Oblast predškolskog odgoja i obrazovanja na području Hercegovačko-neretvanske županije regulirana je Zakonom o predškolskom odgoju („Narodne novine Hercegovačko-neretvanske županije, broj: 5/2000.).</w:t>
      </w:r>
      <w:r w:rsidRPr="006C69B9">
        <w:rPr>
          <w:rFonts w:ascii="Calibri" w:eastAsia="Calibri" w:hAnsi="Calibri" w:cs="Calibri"/>
          <w:spacing w:val="-7"/>
          <w:lang w:val="bs-Latn-BA"/>
        </w:rPr>
        <w:t xml:space="preserve"> </w:t>
      </w:r>
      <w:r w:rsidRPr="006C69B9">
        <w:rPr>
          <w:rFonts w:ascii="Calibri" w:eastAsia="Calibri" w:hAnsi="Calibri" w:cs="Calibri"/>
          <w:lang w:val="bs-Latn-BA"/>
        </w:rPr>
        <w:t>Prema</w:t>
      </w:r>
      <w:r w:rsidRPr="006C69B9">
        <w:rPr>
          <w:rFonts w:ascii="Calibri" w:eastAsia="Calibri" w:hAnsi="Calibri" w:cs="Calibri"/>
          <w:spacing w:val="-3"/>
          <w:lang w:val="bs-Latn-BA"/>
        </w:rPr>
        <w:t xml:space="preserve"> </w:t>
      </w:r>
      <w:r w:rsidRPr="006C69B9">
        <w:rPr>
          <w:rFonts w:ascii="Calibri" w:eastAsia="Calibri" w:hAnsi="Calibri" w:cs="Calibri"/>
          <w:lang w:val="bs-Latn-BA"/>
        </w:rPr>
        <w:t>navedenom</w:t>
      </w:r>
      <w:r w:rsidRPr="006C69B9">
        <w:rPr>
          <w:rFonts w:ascii="Calibri" w:eastAsia="Calibri" w:hAnsi="Calibri" w:cs="Calibri"/>
          <w:spacing w:val="-5"/>
          <w:lang w:val="bs-Latn-BA"/>
        </w:rPr>
        <w:t xml:space="preserve"> </w:t>
      </w:r>
      <w:r w:rsidRPr="006C69B9">
        <w:rPr>
          <w:rFonts w:ascii="Calibri" w:eastAsia="Calibri" w:hAnsi="Calibri" w:cs="Calibri"/>
          <w:lang w:val="bs-Latn-BA"/>
        </w:rPr>
        <w:t>Zakonu,</w:t>
      </w:r>
      <w:r w:rsidRPr="006C69B9">
        <w:rPr>
          <w:rFonts w:ascii="Calibri" w:eastAsia="Calibri" w:hAnsi="Calibri" w:cs="Calibri"/>
          <w:spacing w:val="-3"/>
          <w:lang w:val="bs-Latn-BA"/>
        </w:rPr>
        <w:t xml:space="preserve"> </w:t>
      </w:r>
      <w:r w:rsidRPr="006C69B9">
        <w:rPr>
          <w:rFonts w:ascii="Calibri" w:eastAsia="Calibri" w:hAnsi="Calibri" w:cs="Calibri"/>
          <w:lang w:val="bs-Latn-BA"/>
        </w:rPr>
        <w:t>u</w:t>
      </w:r>
      <w:r w:rsidRPr="006C69B9">
        <w:rPr>
          <w:rFonts w:ascii="Calibri" w:eastAsia="Calibri" w:hAnsi="Calibri" w:cs="Calibri"/>
          <w:spacing w:val="-4"/>
          <w:lang w:val="bs-Latn-BA"/>
        </w:rPr>
        <w:t xml:space="preserve"> </w:t>
      </w:r>
      <w:r w:rsidRPr="006C69B9">
        <w:rPr>
          <w:rFonts w:ascii="Calibri" w:eastAsia="Calibri" w:hAnsi="Calibri" w:cs="Calibri"/>
          <w:lang w:val="bs-Latn-BA"/>
        </w:rPr>
        <w:t>godini</w:t>
      </w:r>
      <w:r w:rsidRPr="006C69B9">
        <w:rPr>
          <w:rFonts w:ascii="Calibri" w:eastAsia="Calibri" w:hAnsi="Calibri" w:cs="Calibri"/>
          <w:spacing w:val="-4"/>
          <w:lang w:val="bs-Latn-BA"/>
        </w:rPr>
        <w:t xml:space="preserve"> </w:t>
      </w:r>
      <w:r w:rsidRPr="006C69B9">
        <w:rPr>
          <w:rFonts w:ascii="Calibri" w:eastAsia="Calibri" w:hAnsi="Calibri" w:cs="Calibri"/>
          <w:lang w:val="bs-Latn-BA"/>
        </w:rPr>
        <w:t>prije</w:t>
      </w:r>
      <w:r w:rsidRPr="006C69B9">
        <w:rPr>
          <w:rFonts w:ascii="Calibri" w:eastAsia="Calibri" w:hAnsi="Calibri" w:cs="Calibri"/>
          <w:spacing w:val="-3"/>
          <w:lang w:val="bs-Latn-BA"/>
        </w:rPr>
        <w:t xml:space="preserve"> </w:t>
      </w:r>
      <w:r w:rsidRPr="006C69B9">
        <w:rPr>
          <w:rFonts w:ascii="Calibri" w:eastAsia="Calibri" w:hAnsi="Calibri" w:cs="Calibri"/>
          <w:lang w:val="bs-Latn-BA"/>
        </w:rPr>
        <w:t>polaska</w:t>
      </w:r>
      <w:r w:rsidRPr="006C69B9">
        <w:rPr>
          <w:rFonts w:ascii="Calibri" w:eastAsia="Calibri" w:hAnsi="Calibri" w:cs="Calibri"/>
          <w:spacing w:val="-3"/>
          <w:lang w:val="bs-Latn-BA"/>
        </w:rPr>
        <w:t xml:space="preserve"> </w:t>
      </w:r>
      <w:r w:rsidRPr="006C69B9">
        <w:rPr>
          <w:rFonts w:ascii="Calibri" w:eastAsia="Calibri" w:hAnsi="Calibri" w:cs="Calibri"/>
          <w:lang w:val="bs-Latn-BA"/>
        </w:rPr>
        <w:t>u</w:t>
      </w:r>
      <w:r w:rsidRPr="006C69B9">
        <w:rPr>
          <w:rFonts w:ascii="Calibri" w:eastAsia="Calibri" w:hAnsi="Calibri" w:cs="Calibri"/>
          <w:spacing w:val="-4"/>
          <w:lang w:val="bs-Latn-BA"/>
        </w:rPr>
        <w:t xml:space="preserve"> </w:t>
      </w:r>
      <w:r w:rsidRPr="006C69B9">
        <w:rPr>
          <w:rFonts w:ascii="Calibri" w:eastAsia="Calibri" w:hAnsi="Calibri" w:cs="Calibri"/>
          <w:lang w:val="bs-Latn-BA"/>
        </w:rPr>
        <w:t>osnovnu</w:t>
      </w:r>
      <w:r w:rsidRPr="006C69B9">
        <w:rPr>
          <w:rFonts w:ascii="Calibri" w:eastAsia="Calibri" w:hAnsi="Calibri" w:cs="Calibri"/>
          <w:spacing w:val="-4"/>
          <w:lang w:val="bs-Latn-BA"/>
        </w:rPr>
        <w:t xml:space="preserve"> </w:t>
      </w:r>
      <w:r w:rsidRPr="006C69B9">
        <w:rPr>
          <w:rFonts w:ascii="Calibri" w:eastAsia="Calibri" w:hAnsi="Calibri" w:cs="Calibri"/>
          <w:lang w:val="bs-Latn-BA"/>
        </w:rPr>
        <w:t>školu</w:t>
      </w:r>
      <w:r w:rsidRPr="006C69B9">
        <w:rPr>
          <w:rFonts w:ascii="Calibri" w:eastAsia="Calibri" w:hAnsi="Calibri" w:cs="Calibri"/>
          <w:spacing w:val="-5"/>
          <w:lang w:val="bs-Latn-BA"/>
        </w:rPr>
        <w:t xml:space="preserve"> </w:t>
      </w:r>
      <w:r w:rsidRPr="006C69B9">
        <w:rPr>
          <w:rFonts w:ascii="Calibri" w:eastAsia="Calibri" w:hAnsi="Calibri" w:cs="Calibri"/>
          <w:lang w:val="bs-Latn-BA"/>
        </w:rPr>
        <w:t>predškolski</w:t>
      </w:r>
      <w:r w:rsidRPr="006C69B9">
        <w:rPr>
          <w:rFonts w:ascii="Calibri" w:eastAsia="Calibri" w:hAnsi="Calibri" w:cs="Calibri"/>
          <w:spacing w:val="-6"/>
          <w:lang w:val="bs-Latn-BA"/>
        </w:rPr>
        <w:t xml:space="preserve"> </w:t>
      </w:r>
      <w:r w:rsidRPr="006C69B9">
        <w:rPr>
          <w:rFonts w:ascii="Calibri" w:eastAsia="Calibri" w:hAnsi="Calibri" w:cs="Calibri"/>
          <w:lang w:val="bs-Latn-BA"/>
        </w:rPr>
        <w:t>odgoj</w:t>
      </w:r>
      <w:r w:rsidRPr="006C69B9">
        <w:rPr>
          <w:rFonts w:ascii="Calibri" w:eastAsia="Calibri" w:hAnsi="Calibri" w:cs="Calibri"/>
          <w:spacing w:val="-3"/>
          <w:lang w:val="bs-Latn-BA"/>
        </w:rPr>
        <w:t xml:space="preserve"> </w:t>
      </w:r>
      <w:r w:rsidRPr="006C69B9">
        <w:rPr>
          <w:rFonts w:ascii="Calibri" w:eastAsia="Calibri" w:hAnsi="Calibri" w:cs="Calibri"/>
          <w:lang w:val="bs-Latn-BA"/>
        </w:rPr>
        <w:t>(program "predškole") obavezan je za svu djecu predškolskog uzrasta, a provode ga nastavnici predškolskog odgoja, ili posebno educirani nastavnici razredne nastave ukoliko se isti realizira pri osnovnoj</w:t>
      </w:r>
      <w:r w:rsidRPr="006C69B9">
        <w:rPr>
          <w:rFonts w:ascii="Calibri" w:eastAsia="Calibri" w:hAnsi="Calibri" w:cs="Calibri"/>
          <w:spacing w:val="-18"/>
          <w:lang w:val="bs-Latn-BA"/>
        </w:rPr>
        <w:t xml:space="preserve"> </w:t>
      </w:r>
      <w:r w:rsidRPr="006C69B9">
        <w:rPr>
          <w:rFonts w:ascii="Calibri" w:eastAsia="Calibri" w:hAnsi="Calibri" w:cs="Calibri"/>
          <w:lang w:val="bs-Latn-BA"/>
        </w:rPr>
        <w:t>školi.</w:t>
      </w:r>
    </w:p>
    <w:p w:rsidR="006C69B9" w:rsidRPr="006C69B9" w:rsidRDefault="006C69B9" w:rsidP="006C69B9">
      <w:pPr>
        <w:widowControl w:val="0"/>
        <w:autoSpaceDE w:val="0"/>
        <w:autoSpaceDN w:val="0"/>
        <w:spacing w:before="120" w:after="0"/>
        <w:ind w:right="491"/>
        <w:jc w:val="both"/>
        <w:rPr>
          <w:rFonts w:ascii="Calibri" w:eastAsia="Calibri" w:hAnsi="Calibri" w:cs="Calibri"/>
          <w:lang w:val="bs-Latn-BA"/>
        </w:rPr>
      </w:pPr>
      <w:r w:rsidRPr="006C69B9">
        <w:rPr>
          <w:rFonts w:ascii="Calibri" w:eastAsia="Calibri" w:hAnsi="Calibri" w:cs="Calibri"/>
          <w:lang w:val="bs-Latn-BA"/>
        </w:rPr>
        <w:t>Na</w:t>
      </w:r>
      <w:r w:rsidRPr="006C69B9">
        <w:rPr>
          <w:rFonts w:ascii="Calibri" w:eastAsia="Calibri" w:hAnsi="Calibri" w:cs="Calibri"/>
          <w:spacing w:val="-9"/>
          <w:lang w:val="bs-Latn-BA"/>
        </w:rPr>
        <w:t xml:space="preserve"> </w:t>
      </w:r>
      <w:r w:rsidRPr="006C69B9">
        <w:rPr>
          <w:rFonts w:ascii="Calibri" w:eastAsia="Calibri" w:hAnsi="Calibri" w:cs="Calibri"/>
          <w:lang w:val="bs-Latn-BA"/>
        </w:rPr>
        <w:t>području</w:t>
      </w:r>
      <w:r w:rsidRPr="006C69B9">
        <w:rPr>
          <w:rFonts w:ascii="Calibri" w:eastAsia="Calibri" w:hAnsi="Calibri" w:cs="Calibri"/>
          <w:spacing w:val="-11"/>
          <w:lang w:val="bs-Latn-BA"/>
        </w:rPr>
        <w:t xml:space="preserve"> </w:t>
      </w:r>
      <w:r w:rsidRPr="006C69B9">
        <w:rPr>
          <w:rFonts w:ascii="Calibri" w:eastAsia="Calibri" w:hAnsi="Calibri" w:cs="Calibri"/>
          <w:lang w:val="bs-Latn-BA"/>
        </w:rPr>
        <w:t>Hercegovačko-neretvanske županije egzistira</w:t>
      </w:r>
      <w:r w:rsidRPr="006C69B9">
        <w:rPr>
          <w:rFonts w:ascii="Calibri" w:eastAsia="Calibri" w:hAnsi="Calibri" w:cs="Calibri"/>
          <w:spacing w:val="-11"/>
          <w:lang w:val="bs-Latn-BA"/>
        </w:rPr>
        <w:t xml:space="preserve"> </w:t>
      </w:r>
      <w:r w:rsidRPr="006C69B9">
        <w:rPr>
          <w:rFonts w:ascii="Calibri" w:eastAsia="Calibri" w:hAnsi="Calibri" w:cs="Calibri"/>
          <w:lang w:val="bs-Latn-BA"/>
        </w:rPr>
        <w:t>ukupno</w:t>
      </w:r>
      <w:r w:rsidRPr="006C69B9">
        <w:rPr>
          <w:rFonts w:ascii="Calibri" w:eastAsia="Calibri" w:hAnsi="Calibri" w:cs="Calibri"/>
          <w:spacing w:val="-10"/>
          <w:lang w:val="bs-Latn-BA"/>
        </w:rPr>
        <w:t xml:space="preserve"> 2</w:t>
      </w:r>
      <w:r w:rsidRPr="006C69B9">
        <w:rPr>
          <w:rFonts w:ascii="Calibri" w:eastAsia="Calibri" w:hAnsi="Calibri" w:cs="Calibri"/>
          <w:spacing w:val="-7"/>
          <w:lang w:val="bs-Latn-BA"/>
        </w:rPr>
        <w:t xml:space="preserve"> </w:t>
      </w:r>
      <w:r w:rsidRPr="006C69B9">
        <w:rPr>
          <w:rFonts w:ascii="Calibri" w:eastAsia="Calibri" w:hAnsi="Calibri" w:cs="Calibri"/>
          <w:lang w:val="bs-Latn-BA"/>
        </w:rPr>
        <w:t>ustanova</w:t>
      </w:r>
      <w:r w:rsidRPr="006C69B9">
        <w:rPr>
          <w:rFonts w:ascii="Calibri" w:eastAsia="Calibri" w:hAnsi="Calibri" w:cs="Calibri"/>
          <w:spacing w:val="-11"/>
          <w:lang w:val="bs-Latn-BA"/>
        </w:rPr>
        <w:t xml:space="preserve"> </w:t>
      </w:r>
      <w:r w:rsidRPr="006C69B9">
        <w:rPr>
          <w:rFonts w:ascii="Calibri" w:eastAsia="Calibri" w:hAnsi="Calibri" w:cs="Calibri"/>
          <w:lang w:val="bs-Latn-BA"/>
        </w:rPr>
        <w:t>za</w:t>
      </w:r>
      <w:r w:rsidRPr="006C69B9">
        <w:rPr>
          <w:rFonts w:ascii="Calibri" w:eastAsia="Calibri" w:hAnsi="Calibri" w:cs="Calibri"/>
          <w:spacing w:val="-8"/>
          <w:lang w:val="bs-Latn-BA"/>
        </w:rPr>
        <w:t xml:space="preserve"> </w:t>
      </w:r>
      <w:r w:rsidRPr="006C69B9">
        <w:rPr>
          <w:rFonts w:ascii="Calibri" w:eastAsia="Calibri" w:hAnsi="Calibri" w:cs="Calibri"/>
          <w:lang w:val="bs-Latn-BA"/>
        </w:rPr>
        <w:t>predškolski</w:t>
      </w:r>
      <w:r w:rsidRPr="006C69B9">
        <w:rPr>
          <w:rFonts w:ascii="Calibri" w:eastAsia="Calibri" w:hAnsi="Calibri" w:cs="Calibri"/>
          <w:spacing w:val="-10"/>
          <w:lang w:val="bs-Latn-BA"/>
        </w:rPr>
        <w:t xml:space="preserve"> </w:t>
      </w:r>
      <w:r w:rsidRPr="006C69B9">
        <w:rPr>
          <w:rFonts w:ascii="Calibri" w:eastAsia="Calibri" w:hAnsi="Calibri" w:cs="Calibri"/>
          <w:lang w:val="bs-Latn-BA"/>
        </w:rPr>
        <w:t>odgoj</w:t>
      </w:r>
      <w:r w:rsidRPr="006C69B9">
        <w:rPr>
          <w:rFonts w:ascii="Calibri" w:eastAsia="Calibri" w:hAnsi="Calibri" w:cs="Calibri"/>
          <w:spacing w:val="-11"/>
          <w:lang w:val="bs-Latn-BA"/>
        </w:rPr>
        <w:t xml:space="preserve"> </w:t>
      </w:r>
      <w:r w:rsidRPr="006C69B9">
        <w:rPr>
          <w:rFonts w:ascii="Calibri" w:eastAsia="Calibri" w:hAnsi="Calibri" w:cs="Calibri"/>
          <w:lang w:val="bs-Latn-BA"/>
        </w:rPr>
        <w:t>i</w:t>
      </w:r>
      <w:r w:rsidRPr="006C69B9">
        <w:rPr>
          <w:rFonts w:ascii="Calibri" w:eastAsia="Calibri" w:hAnsi="Calibri" w:cs="Calibri"/>
          <w:spacing w:val="-11"/>
          <w:lang w:val="bs-Latn-BA"/>
        </w:rPr>
        <w:t xml:space="preserve"> </w:t>
      </w:r>
      <w:r w:rsidRPr="006C69B9">
        <w:rPr>
          <w:rFonts w:ascii="Calibri" w:eastAsia="Calibri" w:hAnsi="Calibri" w:cs="Calibri"/>
          <w:lang w:val="bs-Latn-BA"/>
        </w:rPr>
        <w:t xml:space="preserve">obrazovanje, od čega su 11 javnih i 15 privatnih ustanova. </w:t>
      </w:r>
    </w:p>
    <w:p w:rsidR="006C69B9" w:rsidRPr="006C69B9" w:rsidRDefault="006C69B9" w:rsidP="006C69B9">
      <w:pPr>
        <w:jc w:val="both"/>
        <w:rPr>
          <w:rFonts w:ascii="Calibri" w:eastAsia="Arial Unicode MS" w:hAnsi="Calibri" w:cs="Calibri"/>
          <w:color w:val="000000"/>
          <w:lang w:val="bs-Latn-BA"/>
        </w:rPr>
      </w:pPr>
    </w:p>
    <w:p w:rsidR="006C69B9" w:rsidRPr="006C69B9" w:rsidRDefault="006C69B9" w:rsidP="006C69B9">
      <w:pPr>
        <w:spacing w:after="0" w:line="240" w:lineRule="auto"/>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 xml:space="preserve">U prethodnoj pedagoškoj godini, poludnevni ili puni boravak u vrtićima kroz primarne programe koristilo je 2.207 djece. Taj broj u ovoj pedagoškoj godini je  veći i uključuje 2.320 djece.   </w:t>
      </w:r>
    </w:p>
    <w:p w:rsidR="006C69B9" w:rsidRPr="006C69B9" w:rsidRDefault="006C69B9" w:rsidP="006C69B9">
      <w:pPr>
        <w:spacing w:after="0" w:line="240" w:lineRule="auto"/>
        <w:jc w:val="both"/>
        <w:rPr>
          <w:rFonts w:ascii="Calibri" w:eastAsia="Arial Unicode MS" w:hAnsi="Calibri" w:cs="Calibri"/>
          <w:color w:val="000000"/>
          <w:lang w:val="bs-Latn-BA"/>
        </w:rPr>
      </w:pPr>
    </w:p>
    <w:p w:rsidR="006C69B9" w:rsidRPr="006C69B9" w:rsidRDefault="006C69B9" w:rsidP="006C69B9">
      <w:pPr>
        <w:spacing w:after="0" w:line="240" w:lineRule="auto"/>
        <w:jc w:val="both"/>
        <w:rPr>
          <w:rFonts w:ascii="Calibri" w:eastAsia="Arial Unicode MS" w:hAnsi="Calibri" w:cs="Calibri"/>
          <w:color w:val="000000"/>
          <w:lang w:val="bs-Latn-BA"/>
        </w:rPr>
      </w:pPr>
    </w:p>
    <w:p w:rsidR="006C69B9" w:rsidRPr="006C69B9" w:rsidRDefault="006C69B9" w:rsidP="006C69B9">
      <w:pPr>
        <w:spacing w:after="0" w:line="240" w:lineRule="auto"/>
        <w:ind w:right="545"/>
        <w:jc w:val="both"/>
        <w:rPr>
          <w:rFonts w:ascii="Calibri" w:eastAsia="Arial Unicode MS" w:hAnsi="Calibri" w:cs="Calibri"/>
          <w:color w:val="000000"/>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lastRenderedPageBreak/>
        <w:t>Tabela 50. Broj upisane djece u predškolske ustanove od 2018.-2020.</w:t>
      </w:r>
    </w:p>
    <w:tbl>
      <w:tblPr>
        <w:tblStyle w:val="GridTable4-Accent52"/>
        <w:tblW w:w="8593" w:type="dxa"/>
        <w:tblLook w:val="04A0"/>
      </w:tblPr>
      <w:tblGrid>
        <w:gridCol w:w="5119"/>
        <w:gridCol w:w="1596"/>
        <w:gridCol w:w="1878"/>
      </w:tblGrid>
      <w:tr w:rsidR="006C69B9" w:rsidRPr="006C69B9" w:rsidTr="006C69B9">
        <w:trPr>
          <w:cnfStyle w:val="100000000000"/>
          <w:trHeight w:val="495"/>
        </w:trPr>
        <w:tc>
          <w:tcPr>
            <w:cnfStyle w:val="001000000000"/>
            <w:tcW w:w="5119" w:type="dxa"/>
            <w:vMerge w:val="restart"/>
          </w:tcPr>
          <w:p w:rsidR="006C69B9" w:rsidRPr="006C69B9" w:rsidRDefault="006C69B9" w:rsidP="006C69B9">
            <w:pPr>
              <w:jc w:val="center"/>
              <w:rPr>
                <w:rFonts w:ascii="Calibri" w:eastAsia="Arial Unicode MS" w:hAnsi="Calibri" w:cs="Calibri"/>
                <w:color w:val="000000"/>
                <w:sz w:val="20"/>
                <w:szCs w:val="20"/>
                <w:lang w:val="bs-Latn-BA"/>
              </w:rPr>
            </w:pPr>
          </w:p>
          <w:p w:rsidR="006C69B9" w:rsidRPr="006C69B9" w:rsidRDefault="006C69B9" w:rsidP="006C69B9">
            <w:pPr>
              <w:jc w:val="cente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Vrsta programa</w:t>
            </w:r>
          </w:p>
        </w:tc>
        <w:tc>
          <w:tcPr>
            <w:tcW w:w="1596" w:type="dxa"/>
          </w:tcPr>
          <w:p w:rsidR="006C69B9" w:rsidRPr="006C69B9" w:rsidRDefault="006C69B9" w:rsidP="006C69B9">
            <w:pPr>
              <w:jc w:val="center"/>
              <w:cnfStyle w:val="1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Pedagoška 2018/2019</w:t>
            </w:r>
          </w:p>
        </w:tc>
        <w:tc>
          <w:tcPr>
            <w:tcW w:w="1878" w:type="dxa"/>
          </w:tcPr>
          <w:p w:rsidR="006C69B9" w:rsidRPr="006C69B9" w:rsidRDefault="006C69B9" w:rsidP="006C69B9">
            <w:pPr>
              <w:jc w:val="center"/>
              <w:cnfStyle w:val="1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Pedagoška 2019/2020.</w:t>
            </w:r>
          </w:p>
        </w:tc>
      </w:tr>
      <w:tr w:rsidR="006C69B9" w:rsidRPr="006C69B9" w:rsidTr="006C69B9">
        <w:trPr>
          <w:cnfStyle w:val="000000100000"/>
          <w:trHeight w:val="288"/>
        </w:trPr>
        <w:tc>
          <w:tcPr>
            <w:cnfStyle w:val="001000000000"/>
            <w:tcW w:w="5119" w:type="dxa"/>
            <w:vMerge/>
          </w:tcPr>
          <w:p w:rsidR="006C69B9" w:rsidRPr="006C69B9" w:rsidRDefault="006C69B9" w:rsidP="006C69B9">
            <w:pPr>
              <w:jc w:val="center"/>
              <w:rPr>
                <w:rFonts w:ascii="Calibri" w:eastAsia="Arial Unicode MS" w:hAnsi="Calibri" w:cs="Calibri"/>
                <w:color w:val="000000"/>
                <w:sz w:val="20"/>
                <w:szCs w:val="20"/>
                <w:lang w:val="bs-Latn-BA"/>
              </w:rPr>
            </w:pPr>
          </w:p>
        </w:tc>
        <w:tc>
          <w:tcPr>
            <w:tcW w:w="1596"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Broj djece </w:t>
            </w:r>
          </w:p>
        </w:tc>
        <w:tc>
          <w:tcPr>
            <w:tcW w:w="1878"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Broj djece </w:t>
            </w:r>
          </w:p>
        </w:tc>
      </w:tr>
      <w:tr w:rsidR="006C69B9" w:rsidRPr="006C69B9" w:rsidTr="00D33343">
        <w:trPr>
          <w:trHeight w:val="243"/>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1.1.Primarni program jaslički</w:t>
            </w:r>
          </w:p>
        </w:tc>
        <w:tc>
          <w:tcPr>
            <w:tcW w:w="1596"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167</w:t>
            </w:r>
          </w:p>
        </w:tc>
        <w:tc>
          <w:tcPr>
            <w:tcW w:w="1878"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 175</w:t>
            </w:r>
          </w:p>
        </w:tc>
      </w:tr>
      <w:tr w:rsidR="006C69B9" w:rsidRPr="006C69B9" w:rsidTr="006C69B9">
        <w:trPr>
          <w:cnfStyle w:val="000000100000"/>
          <w:trHeight w:val="252"/>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1.2.Primarni vrtićki program </w:t>
            </w:r>
          </w:p>
        </w:tc>
        <w:tc>
          <w:tcPr>
            <w:tcW w:w="1596"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2.040</w:t>
            </w:r>
          </w:p>
        </w:tc>
        <w:tc>
          <w:tcPr>
            <w:tcW w:w="1878"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2.145</w:t>
            </w:r>
          </w:p>
        </w:tc>
      </w:tr>
      <w:tr w:rsidR="006C69B9" w:rsidRPr="006C69B9" w:rsidTr="00D33343">
        <w:trPr>
          <w:trHeight w:val="252"/>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Ukupno primarni program</w:t>
            </w:r>
          </w:p>
        </w:tc>
        <w:tc>
          <w:tcPr>
            <w:tcW w:w="1596"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2.207</w:t>
            </w:r>
          </w:p>
        </w:tc>
        <w:tc>
          <w:tcPr>
            <w:tcW w:w="1878"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2.320</w:t>
            </w:r>
          </w:p>
        </w:tc>
      </w:tr>
      <w:tr w:rsidR="006C69B9" w:rsidRPr="006C69B9" w:rsidTr="006C69B9">
        <w:trPr>
          <w:cnfStyle w:val="000000100000"/>
          <w:trHeight w:val="495"/>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2. 1.Specijalizovani program za djecu s poteškoćama u psiho-fizičkom razvoju </w:t>
            </w:r>
          </w:p>
        </w:tc>
        <w:tc>
          <w:tcPr>
            <w:tcW w:w="1596"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21</w:t>
            </w:r>
          </w:p>
        </w:tc>
        <w:tc>
          <w:tcPr>
            <w:tcW w:w="1878"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28</w:t>
            </w:r>
          </w:p>
        </w:tc>
      </w:tr>
      <w:tr w:rsidR="006C69B9" w:rsidRPr="006C69B9" w:rsidTr="00D33343">
        <w:trPr>
          <w:trHeight w:val="243"/>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2.2. Program za nadarenu djecu </w:t>
            </w:r>
          </w:p>
        </w:tc>
        <w:tc>
          <w:tcPr>
            <w:tcW w:w="1596"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w:t>
            </w:r>
          </w:p>
        </w:tc>
        <w:tc>
          <w:tcPr>
            <w:tcW w:w="1878"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8</w:t>
            </w:r>
          </w:p>
        </w:tc>
      </w:tr>
      <w:tr w:rsidR="006C69B9" w:rsidRPr="006C69B9" w:rsidTr="006C69B9">
        <w:trPr>
          <w:cnfStyle w:val="000000100000"/>
          <w:trHeight w:val="252"/>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2.3.Program ranog učenja stranih jezika i umjetnički programi</w:t>
            </w:r>
          </w:p>
        </w:tc>
        <w:tc>
          <w:tcPr>
            <w:tcW w:w="1596"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135</w:t>
            </w:r>
          </w:p>
        </w:tc>
        <w:tc>
          <w:tcPr>
            <w:tcW w:w="1878"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170</w:t>
            </w:r>
          </w:p>
        </w:tc>
      </w:tr>
      <w:tr w:rsidR="006C69B9" w:rsidRPr="006C69B9" w:rsidTr="00D33343">
        <w:trPr>
          <w:trHeight w:val="243"/>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2.4.Program predškole uključujući kraće predškolske programe</w:t>
            </w:r>
          </w:p>
        </w:tc>
        <w:tc>
          <w:tcPr>
            <w:tcW w:w="1596"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320</w:t>
            </w:r>
          </w:p>
        </w:tc>
        <w:tc>
          <w:tcPr>
            <w:tcW w:w="1878"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380</w:t>
            </w:r>
          </w:p>
        </w:tc>
      </w:tr>
      <w:tr w:rsidR="006C69B9" w:rsidRPr="006C69B9" w:rsidTr="006C69B9">
        <w:trPr>
          <w:cnfStyle w:val="000000100000"/>
          <w:trHeight w:val="252"/>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3.Drugi programi  (Eko programi, škola plesa Civitas) </w:t>
            </w:r>
          </w:p>
        </w:tc>
        <w:tc>
          <w:tcPr>
            <w:tcW w:w="1596"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106</w:t>
            </w:r>
          </w:p>
        </w:tc>
        <w:tc>
          <w:tcPr>
            <w:tcW w:w="1878" w:type="dxa"/>
          </w:tcPr>
          <w:p w:rsidR="006C69B9" w:rsidRPr="006C69B9" w:rsidRDefault="006C69B9" w:rsidP="006C69B9">
            <w:pPr>
              <w:jc w:val="center"/>
              <w:cnfStyle w:val="0000001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125</w:t>
            </w:r>
          </w:p>
        </w:tc>
      </w:tr>
      <w:tr w:rsidR="006C69B9" w:rsidRPr="006C69B9" w:rsidTr="00D33343">
        <w:trPr>
          <w:trHeight w:val="243"/>
        </w:trPr>
        <w:tc>
          <w:tcPr>
            <w:cnfStyle w:val="001000000000"/>
            <w:tcW w:w="5119" w:type="dxa"/>
          </w:tcPr>
          <w:p w:rsidR="006C69B9" w:rsidRPr="006C69B9" w:rsidRDefault="006C69B9" w:rsidP="006C69B9">
            <w:pPr>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Ukupno ostali programi</w:t>
            </w:r>
          </w:p>
        </w:tc>
        <w:tc>
          <w:tcPr>
            <w:tcW w:w="1596"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582</w:t>
            </w:r>
          </w:p>
        </w:tc>
        <w:tc>
          <w:tcPr>
            <w:tcW w:w="1878" w:type="dxa"/>
          </w:tcPr>
          <w:p w:rsidR="006C69B9" w:rsidRPr="006C69B9" w:rsidRDefault="006C69B9" w:rsidP="006C69B9">
            <w:pPr>
              <w:jc w:val="center"/>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711</w:t>
            </w:r>
          </w:p>
        </w:tc>
      </w:tr>
    </w:tbl>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Calibri" w:eastAsia="Calibri" w:hAnsi="Calibri" w:cs="Times New Roman"/>
          <w:b/>
          <w:i/>
          <w:sz w:val="18"/>
          <w:szCs w:val="18"/>
          <w:lang w:val="bs-Latn-BA"/>
        </w:rPr>
        <w:t>Izvor podataka: Ministarstvo obrazovanja, nauke, kulture i sporta HNŽ</w:t>
      </w:r>
    </w:p>
    <w:p w:rsidR="006C69B9" w:rsidRPr="006C69B9" w:rsidRDefault="006C69B9" w:rsidP="006C69B9">
      <w:pPr>
        <w:widowControl w:val="0"/>
        <w:autoSpaceDE w:val="0"/>
        <w:autoSpaceDN w:val="0"/>
        <w:spacing w:before="120" w:after="0"/>
        <w:ind w:left="260" w:right="491"/>
        <w:jc w:val="both"/>
        <w:rPr>
          <w:rFonts w:ascii="Calibri" w:eastAsia="Calibri" w:hAnsi="Calibri" w:cs="Calibri"/>
          <w:lang w:val="bs-Latn-BA"/>
        </w:rPr>
      </w:pPr>
      <w:r w:rsidRPr="006C69B9">
        <w:rPr>
          <w:rFonts w:ascii="Calibri" w:eastAsia="Calibri" w:hAnsi="Calibri" w:cs="Calibri"/>
          <w:lang w:val="bs-Latn-BA"/>
        </w:rPr>
        <w:t xml:space="preserve">Broj djece obuhvaćene predškolskim odgojem i obrazovanjem u 2019. godini iznosio je </w:t>
      </w:r>
      <w:r w:rsidRPr="006C69B9">
        <w:rPr>
          <w:rFonts w:ascii="Calibri" w:eastAsia="Calibri" w:hAnsi="Calibri" w:cs="Calibri"/>
          <w:color w:val="000000"/>
        </w:rPr>
        <w:t>2.789</w:t>
      </w:r>
      <w:r w:rsidRPr="006C69B9">
        <w:rPr>
          <w:rFonts w:ascii="Calibri" w:eastAsia="Calibri" w:hAnsi="Calibri" w:cs="Calibri"/>
          <w:lang w:val="bs-Latn-BA"/>
        </w:rPr>
        <w:t>, što je za 22% više u odnosu na broj upisane djece u 2015. godini (Tabela 51.). Evidentan je veći broj muške djece tijekom praćenog perioda izuzev 2017/2018. kada je upisano oko 4% više ženske djece.</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51. Broj upisane djece u predškolske ustanove od 2015.-2019.</w:t>
      </w:r>
    </w:p>
    <w:tbl>
      <w:tblPr>
        <w:tblStyle w:val="MediumGrid3-Accent51"/>
        <w:tblW w:w="8625" w:type="dxa"/>
        <w:jc w:val="center"/>
        <w:tblLayout w:type="fixed"/>
        <w:tblLook w:val="06E0"/>
      </w:tblPr>
      <w:tblGrid>
        <w:gridCol w:w="3364"/>
        <w:gridCol w:w="1691"/>
        <w:gridCol w:w="1940"/>
        <w:gridCol w:w="1630"/>
      </w:tblGrid>
      <w:tr w:rsidR="00F85905" w:rsidRPr="006C69B9" w:rsidTr="006C69B9">
        <w:trPr>
          <w:cnfStyle w:val="100000000000"/>
          <w:trHeight w:val="529"/>
          <w:jc w:val="center"/>
        </w:trPr>
        <w:tc>
          <w:tcPr>
            <w:cnfStyle w:val="001000000000"/>
            <w:tcW w:w="3364" w:type="dxa"/>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sz w:val="20"/>
                <w:szCs w:val="20"/>
                <w:lang w:val="bs-Latn-BA"/>
              </w:rPr>
              <w:t>HERCEGOVAČKO-NERETVANSKA ŽUPANIJA</w:t>
            </w:r>
          </w:p>
        </w:tc>
        <w:tc>
          <w:tcPr>
            <w:tcW w:w="1691"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 xml:space="preserve">Ukupno </w:t>
            </w:r>
          </w:p>
        </w:tc>
        <w:tc>
          <w:tcPr>
            <w:tcW w:w="1940"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MuškI</w:t>
            </w:r>
          </w:p>
        </w:tc>
        <w:tc>
          <w:tcPr>
            <w:tcW w:w="1630"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ŽenskI</w:t>
            </w:r>
          </w:p>
        </w:tc>
      </w:tr>
      <w:tr w:rsidR="00F85905" w:rsidRPr="006C69B9" w:rsidTr="006C69B9">
        <w:trPr>
          <w:trHeight w:val="227"/>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2015./2016.</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1.975</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999</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976</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2016./2017.</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2.100</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1.071</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1.029</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2017./2018.</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2.317</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1.137</w:t>
            </w:r>
          </w:p>
        </w:tc>
        <w:tc>
          <w:tcPr>
            <w:tcW w:w="163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1.180</w:t>
            </w:r>
          </w:p>
        </w:tc>
      </w:tr>
      <w:tr w:rsidR="00F85905" w:rsidRPr="006C69B9" w:rsidTr="006C69B9">
        <w:trPr>
          <w:trHeight w:val="223"/>
          <w:jc w:val="center"/>
        </w:trPr>
        <w:tc>
          <w:tcPr>
            <w:cnfStyle w:val="001000000000"/>
            <w:tcW w:w="3364"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2018./2019.</w:t>
            </w:r>
          </w:p>
        </w:tc>
        <w:tc>
          <w:tcPr>
            <w:tcW w:w="169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2.519</w:t>
            </w:r>
          </w:p>
        </w:tc>
        <w:tc>
          <w:tcPr>
            <w:tcW w:w="1940"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1.270</w:t>
            </w:r>
          </w:p>
        </w:tc>
        <w:tc>
          <w:tcPr>
            <w:tcW w:w="1630"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1.249</w:t>
            </w:r>
          </w:p>
        </w:tc>
      </w:tr>
      <w:tr w:rsidR="00F85905" w:rsidRPr="006C69B9" w:rsidTr="006C69B9">
        <w:trPr>
          <w:cnfStyle w:val="010000000000"/>
          <w:trHeight w:val="227"/>
          <w:jc w:val="center"/>
        </w:trPr>
        <w:tc>
          <w:tcPr>
            <w:cnfStyle w:val="001000000000"/>
            <w:tcW w:w="3364" w:type="dxa"/>
          </w:tcPr>
          <w:p w:rsidR="006C69B9" w:rsidRPr="006C69B9" w:rsidRDefault="006C69B9" w:rsidP="006C69B9">
            <w:pPr>
              <w:spacing w:line="276" w:lineRule="auto"/>
              <w:rPr>
                <w:rFonts w:ascii="Calibri" w:eastAsia="Calibri" w:hAnsi="Calibri" w:cs="Calibri"/>
                <w:sz w:val="20"/>
                <w:szCs w:val="20"/>
                <w:lang w:val="bs-Latn-BA"/>
              </w:rPr>
            </w:pPr>
          </w:p>
        </w:tc>
        <w:tc>
          <w:tcPr>
            <w:tcW w:w="1691"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p>
        </w:tc>
        <w:tc>
          <w:tcPr>
            <w:tcW w:w="1940"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p>
        </w:tc>
        <w:tc>
          <w:tcPr>
            <w:tcW w:w="1630"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p>
        </w:tc>
      </w:tr>
    </w:tbl>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Calibri" w:eastAsia="Calibri" w:hAnsi="Calibri" w:cs="Times New Roman"/>
          <w:b/>
          <w:i/>
          <w:sz w:val="18"/>
          <w:szCs w:val="18"/>
          <w:lang w:val="bs-Latn-BA"/>
        </w:rPr>
        <w:t>Izvor podataka: Federalni zavod za statistiku</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35" w:name="_Toc53350352"/>
      <w:bookmarkStart w:id="36" w:name="_Toc57573220"/>
      <w:r w:rsidRPr="006C69B9">
        <w:rPr>
          <w:rFonts w:ascii="Calibri" w:eastAsia="Calibri" w:hAnsi="Calibri" w:cs="Times New Roman"/>
          <w:b/>
          <w:bCs/>
          <w:color w:val="4BACC6"/>
          <w:szCs w:val="26"/>
          <w:lang w:val="bs-Latn-BA" w:eastAsia="hr-HR"/>
        </w:rPr>
        <w:t>Osnovno obrazovanje</w:t>
      </w:r>
      <w:bookmarkEnd w:id="35"/>
      <w:bookmarkEnd w:id="36"/>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widowControl w:val="0"/>
        <w:autoSpaceDE w:val="0"/>
        <w:autoSpaceDN w:val="0"/>
        <w:spacing w:before="116" w:after="0"/>
        <w:ind w:right="494"/>
        <w:jc w:val="both"/>
        <w:rPr>
          <w:rFonts w:ascii="Calibri" w:eastAsia="Calibri" w:hAnsi="Calibri" w:cs="Calibri"/>
          <w:lang w:val="bs-Latn-BA"/>
        </w:rPr>
      </w:pPr>
      <w:r w:rsidRPr="006C69B9">
        <w:rPr>
          <w:rFonts w:ascii="Calibri" w:eastAsia="Calibri" w:hAnsi="Calibri" w:cs="Calibri"/>
          <w:lang w:val="bs-Latn-BA"/>
        </w:rPr>
        <w:t xml:space="preserve">Oblast osnovnoškolskog obrazovanja regulirana je Zakonom </w:t>
      </w:r>
      <w:r w:rsidRPr="006C69B9">
        <w:rPr>
          <w:rFonts w:ascii="Calibri" w:eastAsia="Calibri" w:hAnsi="Calibri" w:cs="Calibri"/>
          <w:color w:val="333333"/>
          <w:sz w:val="21"/>
          <w:lang w:val="bs-Latn-BA"/>
        </w:rPr>
        <w:t>o osnovnom odgoju i obrazovanju („Narodne novine Hercegovačko-neretvanske županije“, broj: 5/2000; 4/2004; 5/2004.).</w:t>
      </w:r>
      <w:r w:rsidRPr="006C69B9">
        <w:rPr>
          <w:rFonts w:ascii="Calibri" w:eastAsia="Calibri" w:hAnsi="Calibri" w:cs="Calibri"/>
          <w:lang w:val="bs-Latn-BA"/>
        </w:rPr>
        <w:t xml:space="preserve"> Osnovno školovanje obavezno je za svu djecu u pravilu od šest do petnaest godina života. Obvezno osnovno obrazovanje i odgoj je besplatno za svu djecu što podrazumijeva postupno osiguravanje uvjeta za slobodan pristup i sudjelovanje učenika u odgoju i obrazovanju, te postupno osiguranje pristupa učenika besplatnim udžbenicima, priručnicima i drugom didaktičkom materijalu s kojima škola raspolaže.</w:t>
      </w:r>
    </w:p>
    <w:p w:rsidR="006C69B9" w:rsidRPr="006C69B9" w:rsidRDefault="006C69B9" w:rsidP="006C69B9">
      <w:pPr>
        <w:ind w:right="545"/>
        <w:jc w:val="both"/>
        <w:rPr>
          <w:rFonts w:ascii="Calibri" w:eastAsia="Arial Unicode MS" w:hAnsi="Calibri" w:cs="Calibri"/>
          <w:color w:val="000000"/>
          <w:lang w:val="bs-Latn-BA"/>
        </w:rPr>
      </w:pPr>
    </w:p>
    <w:p w:rsidR="006C69B9" w:rsidRPr="006C69B9" w:rsidRDefault="006C69B9" w:rsidP="006C69B9">
      <w:pPr>
        <w:ind w:right="545"/>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 xml:space="preserve">U školskoj 2018./2019. godini, nastavu u redovnim osnovnim školama pohađalo je 17.401 učenik razvrstan u 1.030 razrednih odjela.  U tekućoj školskoj godini broj učenika je smanjen na 16.886 učenika dok je broj odjela povećan na 1.033 (Tabela 52.).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52. Broj učenika i odjela u 2018/19 i 2019/20. </w:t>
      </w:r>
    </w:p>
    <w:tbl>
      <w:tblPr>
        <w:tblStyle w:val="GridTable4-Accent52"/>
        <w:tblpPr w:leftFromText="180" w:rightFromText="180" w:vertAnchor="text" w:horzAnchor="margin" w:tblpXSpec="center" w:tblpY="48"/>
        <w:tblW w:w="6950" w:type="dxa"/>
        <w:tblLook w:val="04A0"/>
      </w:tblPr>
      <w:tblGrid>
        <w:gridCol w:w="2040"/>
        <w:gridCol w:w="1174"/>
        <w:gridCol w:w="1174"/>
        <w:gridCol w:w="1153"/>
        <w:gridCol w:w="1409"/>
      </w:tblGrid>
      <w:tr w:rsidR="006C69B9" w:rsidRPr="006C69B9" w:rsidTr="006C69B9">
        <w:trPr>
          <w:cnfStyle w:val="100000000000"/>
          <w:trHeight w:val="299"/>
        </w:trPr>
        <w:tc>
          <w:tcPr>
            <w:cnfStyle w:val="001000000000"/>
            <w:tcW w:w="2040" w:type="dxa"/>
            <w:vMerge w:val="restart"/>
            <w:hideMark/>
          </w:tcPr>
          <w:p w:rsidR="006C69B9" w:rsidRPr="006C69B9" w:rsidRDefault="006C69B9" w:rsidP="006C69B9">
            <w:pPr>
              <w:jc w:val="center"/>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Vrsta škole</w:t>
            </w:r>
          </w:p>
          <w:p w:rsidR="006C69B9" w:rsidRPr="006C69B9" w:rsidRDefault="006C69B9" w:rsidP="006C69B9">
            <w:pPr>
              <w:jc w:val="both"/>
              <w:rPr>
                <w:rFonts w:ascii="Calibri" w:eastAsia="Calibri" w:hAnsi="Calibri" w:cs="Calibri"/>
                <w:color w:val="000000"/>
                <w:sz w:val="20"/>
                <w:szCs w:val="20"/>
                <w:lang w:val="bs-Latn-BA"/>
              </w:rPr>
            </w:pPr>
          </w:p>
        </w:tc>
        <w:tc>
          <w:tcPr>
            <w:tcW w:w="2348" w:type="dxa"/>
            <w:gridSpan w:val="2"/>
            <w:hideMark/>
          </w:tcPr>
          <w:p w:rsidR="006C69B9" w:rsidRPr="006C69B9" w:rsidRDefault="006C69B9" w:rsidP="006C69B9">
            <w:pPr>
              <w:cnfStyle w:val="1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Školska godina 2018/2019.</w:t>
            </w:r>
          </w:p>
        </w:tc>
        <w:tc>
          <w:tcPr>
            <w:tcW w:w="2562" w:type="dxa"/>
            <w:gridSpan w:val="2"/>
            <w:hideMark/>
          </w:tcPr>
          <w:p w:rsidR="006C69B9" w:rsidRPr="006C69B9" w:rsidRDefault="006C69B9" w:rsidP="006C69B9">
            <w:pPr>
              <w:jc w:val="center"/>
              <w:cnfStyle w:val="1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Školska godina 2019./2020.</w:t>
            </w:r>
          </w:p>
        </w:tc>
      </w:tr>
      <w:tr w:rsidR="00F85905" w:rsidRPr="006C69B9" w:rsidTr="006C69B9">
        <w:trPr>
          <w:cnfStyle w:val="000000100000"/>
          <w:trHeight w:val="442"/>
        </w:trPr>
        <w:tc>
          <w:tcPr>
            <w:cnfStyle w:val="001000000000"/>
            <w:tcW w:w="2040" w:type="dxa"/>
            <w:vMerge/>
            <w:hideMark/>
          </w:tcPr>
          <w:p w:rsidR="006C69B9" w:rsidRPr="006C69B9" w:rsidRDefault="006C69B9" w:rsidP="006C69B9">
            <w:pPr>
              <w:jc w:val="both"/>
              <w:rPr>
                <w:rFonts w:ascii="Calibri" w:eastAsia="Calibri" w:hAnsi="Calibri" w:cs="Calibri"/>
                <w:color w:val="000000"/>
                <w:sz w:val="20"/>
                <w:szCs w:val="20"/>
                <w:lang w:val="bs-Latn-BA"/>
              </w:rPr>
            </w:pP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Broj učenika</w:t>
            </w: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Broj odjela</w:t>
            </w:r>
          </w:p>
        </w:tc>
        <w:tc>
          <w:tcPr>
            <w:tcW w:w="1153"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Broj učenika</w:t>
            </w:r>
          </w:p>
        </w:tc>
        <w:tc>
          <w:tcPr>
            <w:tcW w:w="1409"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Broj odjela</w:t>
            </w:r>
          </w:p>
        </w:tc>
      </w:tr>
      <w:tr w:rsidR="006C69B9" w:rsidRPr="006C69B9" w:rsidTr="00D33343">
        <w:trPr>
          <w:trHeight w:val="434"/>
        </w:trPr>
        <w:tc>
          <w:tcPr>
            <w:cnfStyle w:val="001000000000"/>
            <w:tcW w:w="2040" w:type="dxa"/>
            <w:hideMark/>
          </w:tcPr>
          <w:p w:rsidR="006C69B9" w:rsidRPr="006C69B9" w:rsidRDefault="006C69B9" w:rsidP="006C69B9">
            <w:pPr>
              <w:jc w:val="both"/>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lastRenderedPageBreak/>
              <w:t xml:space="preserve">Javna redovna škola </w:t>
            </w:r>
          </w:p>
        </w:tc>
        <w:tc>
          <w:tcPr>
            <w:tcW w:w="1174"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17.372</w:t>
            </w:r>
          </w:p>
        </w:tc>
        <w:tc>
          <w:tcPr>
            <w:tcW w:w="1174"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1.024</w:t>
            </w:r>
          </w:p>
        </w:tc>
        <w:tc>
          <w:tcPr>
            <w:tcW w:w="1153"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16.853</w:t>
            </w:r>
          </w:p>
        </w:tc>
        <w:tc>
          <w:tcPr>
            <w:tcW w:w="1409"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1.025</w:t>
            </w:r>
          </w:p>
        </w:tc>
      </w:tr>
      <w:tr w:rsidR="00F85905" w:rsidRPr="006C69B9" w:rsidTr="006C69B9">
        <w:trPr>
          <w:cnfStyle w:val="000000100000"/>
          <w:trHeight w:val="426"/>
        </w:trPr>
        <w:tc>
          <w:tcPr>
            <w:cnfStyle w:val="001000000000"/>
            <w:tcW w:w="2040" w:type="dxa"/>
            <w:hideMark/>
          </w:tcPr>
          <w:p w:rsidR="006C69B9" w:rsidRPr="006C69B9" w:rsidRDefault="006C69B9" w:rsidP="006C69B9">
            <w:pPr>
              <w:jc w:val="both"/>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Privatna redovna škola</w:t>
            </w: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29</w:t>
            </w: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6</w:t>
            </w:r>
          </w:p>
        </w:tc>
        <w:tc>
          <w:tcPr>
            <w:tcW w:w="1153"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33</w:t>
            </w:r>
          </w:p>
        </w:tc>
        <w:tc>
          <w:tcPr>
            <w:tcW w:w="1409"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8</w:t>
            </w:r>
          </w:p>
        </w:tc>
      </w:tr>
      <w:tr w:rsidR="006C69B9" w:rsidRPr="006C69B9" w:rsidTr="00D33343">
        <w:trPr>
          <w:trHeight w:val="269"/>
        </w:trPr>
        <w:tc>
          <w:tcPr>
            <w:cnfStyle w:val="001000000000"/>
            <w:tcW w:w="2040" w:type="dxa"/>
            <w:hideMark/>
          </w:tcPr>
          <w:p w:rsidR="006C69B9" w:rsidRPr="006C69B9" w:rsidRDefault="006C69B9" w:rsidP="006C69B9">
            <w:pPr>
              <w:jc w:val="both"/>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Ukupno redovne škole</w:t>
            </w:r>
          </w:p>
        </w:tc>
        <w:tc>
          <w:tcPr>
            <w:tcW w:w="1174"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17.401</w:t>
            </w:r>
          </w:p>
        </w:tc>
        <w:tc>
          <w:tcPr>
            <w:tcW w:w="1174"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1.030</w:t>
            </w:r>
          </w:p>
        </w:tc>
        <w:tc>
          <w:tcPr>
            <w:tcW w:w="1153"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16.886</w:t>
            </w:r>
          </w:p>
        </w:tc>
        <w:tc>
          <w:tcPr>
            <w:tcW w:w="1409"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1.033</w:t>
            </w:r>
          </w:p>
        </w:tc>
      </w:tr>
      <w:tr w:rsidR="00F85905" w:rsidRPr="006C69B9" w:rsidTr="006C69B9">
        <w:trPr>
          <w:cnfStyle w:val="000000100000"/>
          <w:trHeight w:val="378"/>
        </w:trPr>
        <w:tc>
          <w:tcPr>
            <w:cnfStyle w:val="001000000000"/>
            <w:tcW w:w="2040" w:type="dxa"/>
            <w:hideMark/>
          </w:tcPr>
          <w:p w:rsidR="006C69B9" w:rsidRPr="006C69B9" w:rsidRDefault="006C69B9" w:rsidP="006C69B9">
            <w:pPr>
              <w:jc w:val="both"/>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Javna muzička škola </w:t>
            </w: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788</w:t>
            </w: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74</w:t>
            </w:r>
          </w:p>
        </w:tc>
        <w:tc>
          <w:tcPr>
            <w:tcW w:w="1153"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867</w:t>
            </w:r>
          </w:p>
        </w:tc>
        <w:tc>
          <w:tcPr>
            <w:tcW w:w="1409"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72</w:t>
            </w:r>
          </w:p>
        </w:tc>
      </w:tr>
      <w:tr w:rsidR="006C69B9" w:rsidRPr="006C69B9" w:rsidTr="00D33343">
        <w:trPr>
          <w:trHeight w:val="279"/>
        </w:trPr>
        <w:tc>
          <w:tcPr>
            <w:cnfStyle w:val="001000000000"/>
            <w:tcW w:w="2040" w:type="dxa"/>
            <w:hideMark/>
          </w:tcPr>
          <w:p w:rsidR="006C69B9" w:rsidRPr="006C69B9" w:rsidRDefault="006C69B9" w:rsidP="006C69B9">
            <w:pPr>
              <w:jc w:val="both"/>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Privatna muzička škola</w:t>
            </w:r>
          </w:p>
        </w:tc>
        <w:tc>
          <w:tcPr>
            <w:tcW w:w="1174"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0</w:t>
            </w:r>
          </w:p>
        </w:tc>
        <w:tc>
          <w:tcPr>
            <w:tcW w:w="1174"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0</w:t>
            </w:r>
          </w:p>
        </w:tc>
        <w:tc>
          <w:tcPr>
            <w:tcW w:w="1153"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57</w:t>
            </w:r>
          </w:p>
        </w:tc>
        <w:tc>
          <w:tcPr>
            <w:tcW w:w="1409" w:type="dxa"/>
            <w:hideMark/>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6</w:t>
            </w:r>
          </w:p>
        </w:tc>
      </w:tr>
      <w:tr w:rsidR="00F85905" w:rsidRPr="006C69B9" w:rsidTr="006C69B9">
        <w:trPr>
          <w:cnfStyle w:val="000000100000"/>
          <w:trHeight w:val="402"/>
        </w:trPr>
        <w:tc>
          <w:tcPr>
            <w:cnfStyle w:val="001000000000"/>
            <w:tcW w:w="2040" w:type="dxa"/>
            <w:hideMark/>
          </w:tcPr>
          <w:p w:rsidR="006C69B9" w:rsidRPr="006C69B9" w:rsidRDefault="006C69B9" w:rsidP="006C69B9">
            <w:pPr>
              <w:jc w:val="both"/>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 xml:space="preserve">Ukupno muzičke škole </w:t>
            </w: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788</w:t>
            </w:r>
          </w:p>
        </w:tc>
        <w:tc>
          <w:tcPr>
            <w:tcW w:w="1174"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74</w:t>
            </w:r>
          </w:p>
        </w:tc>
        <w:tc>
          <w:tcPr>
            <w:tcW w:w="1153"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924</w:t>
            </w:r>
          </w:p>
        </w:tc>
        <w:tc>
          <w:tcPr>
            <w:tcW w:w="1409" w:type="dxa"/>
            <w:hideMark/>
          </w:tcPr>
          <w:p w:rsidR="006C69B9" w:rsidRPr="006C69B9" w:rsidRDefault="006C69B9" w:rsidP="006C69B9">
            <w:pPr>
              <w:jc w:val="both"/>
              <w:cnfStyle w:val="000000100000"/>
              <w:rPr>
                <w:rFonts w:ascii="Calibri" w:eastAsia="Calibri" w:hAnsi="Calibri" w:cs="Calibri"/>
                <w:color w:val="000000"/>
                <w:sz w:val="20"/>
                <w:szCs w:val="20"/>
                <w:lang w:val="bs-Latn-BA"/>
              </w:rPr>
            </w:pPr>
            <w:r w:rsidRPr="006C69B9">
              <w:rPr>
                <w:rFonts w:ascii="Calibri" w:eastAsia="Arial Unicode MS" w:hAnsi="Calibri" w:cs="Calibri"/>
                <w:color w:val="000000"/>
                <w:sz w:val="20"/>
                <w:szCs w:val="20"/>
                <w:lang w:val="bs-Latn-BA"/>
              </w:rPr>
              <w:t>78</w:t>
            </w:r>
          </w:p>
        </w:tc>
      </w:tr>
    </w:tbl>
    <w:p w:rsidR="006C69B9" w:rsidRPr="006C69B9" w:rsidRDefault="006C69B9" w:rsidP="006C69B9">
      <w:pPr>
        <w:rPr>
          <w:rFonts w:ascii="Calibri" w:eastAsia="Calibri" w:hAnsi="Calibri" w:cs="Times New Roman"/>
          <w:lang w:eastAsia="hr-HR"/>
        </w:rPr>
      </w:pPr>
    </w:p>
    <w:p w:rsidR="006C69B9" w:rsidRPr="006C69B9" w:rsidRDefault="006C69B9" w:rsidP="006C69B9">
      <w:pPr>
        <w:rPr>
          <w:rFonts w:ascii="Calibri" w:eastAsia="Calibri" w:hAnsi="Calibri" w:cs="Times New Roman"/>
          <w:lang w:eastAsia="hr-HR"/>
        </w:rPr>
      </w:pPr>
    </w:p>
    <w:p w:rsidR="006C69B9" w:rsidRPr="006C69B9" w:rsidRDefault="006C69B9" w:rsidP="006C69B9">
      <w:pPr>
        <w:rPr>
          <w:rFonts w:ascii="Calibri" w:eastAsia="Calibri" w:hAnsi="Calibri" w:cs="Times New Roman"/>
          <w:lang w:eastAsia="hr-HR"/>
        </w:rPr>
      </w:pPr>
    </w:p>
    <w:p w:rsidR="006C69B9" w:rsidRPr="006C69B9" w:rsidRDefault="006C69B9" w:rsidP="006C69B9">
      <w:pPr>
        <w:shd w:val="clear" w:color="auto" w:fill="FFFFFF"/>
        <w:spacing w:after="0" w:line="276" w:lineRule="auto"/>
        <w:ind w:firstLine="260"/>
        <w:jc w:val="center"/>
        <w:rPr>
          <w:rFonts w:ascii="Calibri" w:eastAsia="Calibri" w:hAnsi="Calibri" w:cs="Times New Roman"/>
          <w:b/>
          <w:i/>
          <w:sz w:val="18"/>
          <w:szCs w:val="18"/>
          <w:lang w:val="bs-Latn-BA"/>
        </w:rPr>
      </w:pPr>
    </w:p>
    <w:p w:rsidR="006C69B9" w:rsidRPr="006C69B9" w:rsidRDefault="006C69B9" w:rsidP="006C69B9">
      <w:pPr>
        <w:shd w:val="clear" w:color="auto" w:fill="FFFFFF"/>
        <w:spacing w:after="0" w:line="276" w:lineRule="auto"/>
        <w:ind w:firstLine="260"/>
        <w:jc w:val="center"/>
        <w:rPr>
          <w:rFonts w:ascii="Calibri" w:eastAsia="Calibri" w:hAnsi="Calibri" w:cs="Times New Roman"/>
          <w:b/>
          <w:i/>
          <w:sz w:val="18"/>
          <w:szCs w:val="18"/>
          <w:lang w:val="bs-Latn-BA"/>
        </w:rPr>
      </w:pPr>
    </w:p>
    <w:p w:rsidR="006C69B9" w:rsidRPr="006C69B9" w:rsidRDefault="006C69B9" w:rsidP="006C69B9">
      <w:pPr>
        <w:shd w:val="clear" w:color="auto" w:fill="FFFFFF"/>
        <w:spacing w:after="0" w:line="276" w:lineRule="auto"/>
        <w:ind w:firstLine="260"/>
        <w:jc w:val="center"/>
        <w:rPr>
          <w:rFonts w:ascii="Calibri" w:eastAsia="Calibri" w:hAnsi="Calibri" w:cs="Times New Roman"/>
          <w:b/>
          <w:i/>
          <w:sz w:val="18"/>
          <w:szCs w:val="18"/>
          <w:lang w:val="bs-Latn-BA"/>
        </w:rPr>
      </w:pPr>
    </w:p>
    <w:p w:rsidR="006C69B9" w:rsidRPr="006C69B9" w:rsidRDefault="006C69B9" w:rsidP="006C69B9">
      <w:pPr>
        <w:shd w:val="clear" w:color="auto" w:fill="FFFFFF"/>
        <w:spacing w:after="0" w:line="276" w:lineRule="auto"/>
        <w:ind w:firstLine="260"/>
        <w:jc w:val="center"/>
        <w:rPr>
          <w:rFonts w:ascii="Calibri" w:eastAsia="Calibri" w:hAnsi="Calibri" w:cs="Times New Roman"/>
          <w:b/>
          <w:i/>
          <w:sz w:val="18"/>
          <w:szCs w:val="18"/>
          <w:lang w:val="bs-Latn-BA"/>
        </w:rPr>
      </w:pPr>
    </w:p>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Calibri" w:eastAsia="Calibri" w:hAnsi="Calibri" w:cs="Times New Roman"/>
          <w:b/>
          <w:i/>
          <w:sz w:val="18"/>
          <w:szCs w:val="18"/>
          <w:lang w:val="bs-Latn-BA"/>
        </w:rPr>
        <w:t>Izvor podataka: Ministarstvo obrazovanja, nauke, kulture i sporta HNŽ</w:t>
      </w:r>
    </w:p>
    <w:p w:rsidR="006C69B9" w:rsidRPr="006C69B9" w:rsidRDefault="006C69B9" w:rsidP="006C69B9">
      <w:pPr>
        <w:widowControl w:val="0"/>
        <w:autoSpaceDE w:val="0"/>
        <w:autoSpaceDN w:val="0"/>
        <w:spacing w:before="116" w:after="0"/>
        <w:ind w:left="260" w:right="494"/>
        <w:jc w:val="both"/>
        <w:rPr>
          <w:rFonts w:ascii="Calibri" w:eastAsia="Calibri" w:hAnsi="Calibri" w:cs="Calibri"/>
        </w:rPr>
      </w:pPr>
      <w:r w:rsidRPr="006C69B9">
        <w:rPr>
          <w:rFonts w:ascii="Calibri" w:eastAsia="Calibri" w:hAnsi="Calibri" w:cs="Calibri"/>
        </w:rPr>
        <w:t xml:space="preserve">Na području HNŽ-u registrirano je 125 osnovnih škola i 2 škole za djecu s posebnim potrebama. Broj djece sa posebnim potrebama uključeni u redovitu nastavu je 82, od čega je 31 ženskih i 51 muških u školskoj 2018/19. godini. </w:t>
      </w:r>
    </w:p>
    <w:p w:rsidR="006C69B9" w:rsidRPr="006C69B9" w:rsidRDefault="006C69B9" w:rsidP="006C69B9">
      <w:pPr>
        <w:widowControl w:val="0"/>
        <w:autoSpaceDE w:val="0"/>
        <w:autoSpaceDN w:val="0"/>
        <w:spacing w:before="116" w:after="0"/>
        <w:ind w:left="260" w:right="494"/>
        <w:jc w:val="both"/>
        <w:rPr>
          <w:rFonts w:ascii="Calibri" w:eastAsia="Calibri" w:hAnsi="Calibri" w:cs="Calibri"/>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53. Broj osnovnih škola 2015-2019.</w:t>
      </w:r>
    </w:p>
    <w:tbl>
      <w:tblPr>
        <w:tblStyle w:val="MediumGrid3-Accent51"/>
        <w:tblW w:w="6995" w:type="dxa"/>
        <w:jc w:val="center"/>
        <w:tblLayout w:type="fixed"/>
        <w:tblLook w:val="06E0"/>
      </w:tblPr>
      <w:tblGrid>
        <w:gridCol w:w="3364"/>
        <w:gridCol w:w="1691"/>
        <w:gridCol w:w="1940"/>
      </w:tblGrid>
      <w:tr w:rsidR="00F85905" w:rsidRPr="006C69B9" w:rsidTr="006C69B9">
        <w:trPr>
          <w:cnfStyle w:val="100000000000"/>
          <w:trHeight w:val="529"/>
          <w:jc w:val="center"/>
        </w:trPr>
        <w:tc>
          <w:tcPr>
            <w:cnfStyle w:val="001000000000"/>
            <w:tcW w:w="3364" w:type="dxa"/>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sz w:val="20"/>
                <w:szCs w:val="20"/>
                <w:lang w:val="bs-Latn-BA"/>
              </w:rPr>
              <w:t>Županija</w:t>
            </w:r>
          </w:p>
        </w:tc>
        <w:tc>
          <w:tcPr>
            <w:tcW w:w="1691"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Godina</w:t>
            </w:r>
          </w:p>
        </w:tc>
        <w:tc>
          <w:tcPr>
            <w:tcW w:w="1940"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Ukupno</w:t>
            </w:r>
          </w:p>
        </w:tc>
      </w:tr>
      <w:tr w:rsidR="00F85905" w:rsidRPr="006C69B9" w:rsidTr="006C69B9">
        <w:trPr>
          <w:trHeight w:val="227"/>
          <w:jc w:val="center"/>
        </w:trPr>
        <w:tc>
          <w:tcPr>
            <w:cnfStyle w:val="001000000000"/>
            <w:tcW w:w="3364" w:type="dxa"/>
            <w:vMerge w:val="restart"/>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Hercegovačko-neretvanska županija</w:t>
            </w: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2015./2016.</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105</w:t>
            </w:r>
          </w:p>
        </w:tc>
      </w:tr>
      <w:tr w:rsidR="00F85905" w:rsidRPr="006C69B9" w:rsidTr="006C69B9">
        <w:trPr>
          <w:trHeight w:val="223"/>
          <w:jc w:val="center"/>
        </w:trPr>
        <w:tc>
          <w:tcPr>
            <w:cnfStyle w:val="001000000000"/>
            <w:tcW w:w="3364" w:type="dxa"/>
            <w:vMerge/>
          </w:tcPr>
          <w:p w:rsidR="006C69B9" w:rsidRPr="006C69B9" w:rsidRDefault="006C69B9" w:rsidP="006C69B9">
            <w:pPr>
              <w:spacing w:line="276" w:lineRule="auto"/>
              <w:rPr>
                <w:rFonts w:ascii="Calibri" w:eastAsia="Calibri" w:hAnsi="Calibri" w:cs="Calibri"/>
                <w:sz w:val="20"/>
                <w:szCs w:val="20"/>
                <w:lang w:val="bs-Latn-BA"/>
              </w:rPr>
            </w:pP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2016./2017.</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116</w:t>
            </w:r>
          </w:p>
        </w:tc>
      </w:tr>
      <w:tr w:rsidR="00F85905" w:rsidRPr="006C69B9" w:rsidTr="006C69B9">
        <w:trPr>
          <w:trHeight w:val="223"/>
          <w:jc w:val="center"/>
        </w:trPr>
        <w:tc>
          <w:tcPr>
            <w:cnfStyle w:val="001000000000"/>
            <w:tcW w:w="3364" w:type="dxa"/>
            <w:vMerge/>
          </w:tcPr>
          <w:p w:rsidR="006C69B9" w:rsidRPr="006C69B9" w:rsidRDefault="006C69B9" w:rsidP="006C69B9">
            <w:pPr>
              <w:spacing w:line="276" w:lineRule="auto"/>
              <w:rPr>
                <w:rFonts w:ascii="Calibri" w:eastAsia="Calibri" w:hAnsi="Calibri" w:cs="Calibri"/>
                <w:sz w:val="20"/>
                <w:szCs w:val="20"/>
                <w:lang w:val="bs-Latn-BA"/>
              </w:rPr>
            </w:pPr>
          </w:p>
        </w:tc>
        <w:tc>
          <w:tcPr>
            <w:tcW w:w="169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2017./2018.</w:t>
            </w:r>
          </w:p>
        </w:tc>
        <w:tc>
          <w:tcPr>
            <w:tcW w:w="194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131</w:t>
            </w:r>
          </w:p>
        </w:tc>
      </w:tr>
      <w:tr w:rsidR="00F85905" w:rsidRPr="006C69B9" w:rsidTr="006C69B9">
        <w:trPr>
          <w:cnfStyle w:val="010000000000"/>
          <w:trHeight w:val="223"/>
          <w:jc w:val="center"/>
        </w:trPr>
        <w:tc>
          <w:tcPr>
            <w:cnfStyle w:val="001000000000"/>
            <w:tcW w:w="3364" w:type="dxa"/>
            <w:vMerge/>
          </w:tcPr>
          <w:p w:rsidR="006C69B9" w:rsidRPr="006C69B9" w:rsidRDefault="006C69B9" w:rsidP="006C69B9">
            <w:pPr>
              <w:spacing w:line="276" w:lineRule="auto"/>
              <w:rPr>
                <w:rFonts w:ascii="Calibri" w:eastAsia="Calibri" w:hAnsi="Calibri" w:cs="Times New Roman"/>
                <w:sz w:val="20"/>
                <w:szCs w:val="20"/>
                <w:lang w:val="bs-Latn-BA"/>
              </w:rPr>
            </w:pPr>
          </w:p>
        </w:tc>
        <w:tc>
          <w:tcPr>
            <w:tcW w:w="1691"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2018./2019.</w:t>
            </w:r>
          </w:p>
        </w:tc>
        <w:tc>
          <w:tcPr>
            <w:tcW w:w="1940"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127</w:t>
            </w:r>
          </w:p>
        </w:tc>
      </w:tr>
    </w:tbl>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Calibri" w:eastAsia="Calibri" w:hAnsi="Calibri" w:cs="Times New Roman"/>
          <w:b/>
          <w:i/>
          <w:sz w:val="18"/>
          <w:szCs w:val="18"/>
          <w:lang w:val="bs-Latn-BA"/>
        </w:rPr>
        <w:t>Izvor podataka: Federalni zavod za statistiku</w:t>
      </w:r>
    </w:p>
    <w:p w:rsidR="006C69B9" w:rsidRPr="006C69B9" w:rsidRDefault="006C69B9" w:rsidP="006C69B9">
      <w:pPr>
        <w:widowControl w:val="0"/>
        <w:autoSpaceDE w:val="0"/>
        <w:autoSpaceDN w:val="0"/>
        <w:spacing w:before="118" w:after="0"/>
        <w:ind w:left="260" w:right="491"/>
        <w:jc w:val="both"/>
        <w:rPr>
          <w:rFonts w:ascii="Calibri" w:eastAsia="Calibri" w:hAnsi="Calibri" w:cs="Calibri"/>
          <w:lang w:val="bs-Latn-BA"/>
        </w:rPr>
      </w:pPr>
      <w:r w:rsidRPr="006C69B9">
        <w:rPr>
          <w:rFonts w:ascii="Calibri" w:eastAsia="Calibri" w:hAnsi="Calibri" w:cs="Calibri"/>
          <w:lang w:val="bs-Latn-BA"/>
        </w:rPr>
        <w:t>U</w:t>
      </w:r>
      <w:r w:rsidRPr="006C69B9">
        <w:rPr>
          <w:rFonts w:ascii="Calibri" w:eastAsia="Calibri" w:hAnsi="Calibri" w:cs="Calibri"/>
          <w:spacing w:val="-7"/>
          <w:lang w:val="bs-Latn-BA"/>
        </w:rPr>
        <w:t xml:space="preserve"> </w:t>
      </w:r>
      <w:r w:rsidRPr="006C69B9">
        <w:rPr>
          <w:rFonts w:ascii="Calibri" w:eastAsia="Calibri" w:hAnsi="Calibri" w:cs="Calibri"/>
          <w:lang w:val="bs-Latn-BA"/>
        </w:rPr>
        <w:t>Gradu</w:t>
      </w:r>
      <w:r w:rsidRPr="006C69B9">
        <w:rPr>
          <w:rFonts w:ascii="Calibri" w:eastAsia="Calibri" w:hAnsi="Calibri" w:cs="Calibri"/>
          <w:spacing w:val="-9"/>
          <w:lang w:val="bs-Latn-BA"/>
        </w:rPr>
        <w:t xml:space="preserve"> Mostaru zabilježen je najveći broj osnovnih škola, 24 i 2 škole s posebnim potrebama. U</w:t>
      </w:r>
      <w:r w:rsidRPr="006C69B9">
        <w:rPr>
          <w:rFonts w:ascii="Calibri" w:eastAsia="Calibri" w:hAnsi="Calibri" w:cs="Calibri"/>
          <w:lang w:val="bs-Latn-BA"/>
        </w:rPr>
        <w:t xml:space="preserve"> školskoj 2018./2019. godini</w:t>
      </w:r>
      <w:r w:rsidRPr="006C69B9">
        <w:rPr>
          <w:rFonts w:ascii="Calibri" w:eastAsia="Calibri" w:hAnsi="Calibri" w:cs="Calibri"/>
          <w:spacing w:val="-8"/>
          <w:lang w:val="bs-Latn-BA"/>
        </w:rPr>
        <w:t xml:space="preserve"> </w:t>
      </w:r>
      <w:r w:rsidRPr="006C69B9">
        <w:rPr>
          <w:rFonts w:ascii="Calibri" w:eastAsia="Calibri" w:hAnsi="Calibri" w:cs="Calibri"/>
          <w:lang w:val="bs-Latn-BA"/>
        </w:rPr>
        <w:t>osnovnu</w:t>
      </w:r>
      <w:r w:rsidRPr="006C69B9">
        <w:rPr>
          <w:rFonts w:ascii="Calibri" w:eastAsia="Calibri" w:hAnsi="Calibri" w:cs="Calibri"/>
          <w:spacing w:val="-9"/>
          <w:lang w:val="bs-Latn-BA"/>
        </w:rPr>
        <w:t xml:space="preserve"> </w:t>
      </w:r>
      <w:r w:rsidRPr="006C69B9">
        <w:rPr>
          <w:rFonts w:ascii="Calibri" w:eastAsia="Calibri" w:hAnsi="Calibri" w:cs="Calibri"/>
          <w:lang w:val="bs-Latn-BA"/>
        </w:rPr>
        <w:t>školu</w:t>
      </w:r>
      <w:r w:rsidRPr="006C69B9">
        <w:rPr>
          <w:rFonts w:ascii="Calibri" w:eastAsia="Calibri" w:hAnsi="Calibri" w:cs="Calibri"/>
          <w:spacing w:val="-9"/>
          <w:lang w:val="bs-Latn-BA"/>
        </w:rPr>
        <w:t xml:space="preserve"> </w:t>
      </w:r>
      <w:r w:rsidRPr="006C69B9">
        <w:rPr>
          <w:rFonts w:ascii="Calibri" w:eastAsia="Calibri" w:hAnsi="Calibri" w:cs="Calibri"/>
          <w:lang w:val="bs-Latn-BA"/>
        </w:rPr>
        <w:t>pohađa</w:t>
      </w:r>
      <w:r w:rsidRPr="006C69B9">
        <w:rPr>
          <w:rFonts w:ascii="Calibri" w:eastAsia="Calibri" w:hAnsi="Calibri" w:cs="Calibri"/>
          <w:spacing w:val="-10"/>
          <w:lang w:val="bs-Latn-BA"/>
        </w:rPr>
        <w:t xml:space="preserve"> 25.540 </w:t>
      </w:r>
      <w:r w:rsidRPr="006C69B9">
        <w:rPr>
          <w:rFonts w:ascii="Calibri" w:eastAsia="Calibri" w:hAnsi="Calibri" w:cs="Calibri"/>
          <w:lang w:val="bs-Latn-BA"/>
        </w:rPr>
        <w:t xml:space="preserve">učenika što je za 9% više nego u 2015./2016. godini. </w:t>
      </w:r>
    </w:p>
    <w:p w:rsidR="006C69B9" w:rsidRPr="006C69B9" w:rsidRDefault="006C69B9" w:rsidP="006C69B9">
      <w:pPr>
        <w:spacing w:after="0" w:line="276" w:lineRule="auto"/>
        <w:ind w:firstLine="260"/>
        <w:jc w:val="both"/>
        <w:rPr>
          <w:rFonts w:ascii="Calibri" w:eastAsia="Calibri" w:hAnsi="Calibri" w:cs="Calibri"/>
          <w:color w:val="000000"/>
        </w:rPr>
      </w:pPr>
      <w:r w:rsidRPr="006C69B9">
        <w:rPr>
          <w:rFonts w:ascii="Calibri" w:eastAsia="Calibri" w:hAnsi="Calibri" w:cs="Calibri"/>
          <w:color w:val="000000"/>
        </w:rPr>
        <w:t xml:space="preserve">U osnovnim školama Hercegovačko-neretvanske županije radi:         </w:t>
      </w:r>
    </w:p>
    <w:p w:rsidR="006C69B9" w:rsidRPr="006C69B9" w:rsidRDefault="006C69B9" w:rsidP="00F85905">
      <w:pPr>
        <w:numPr>
          <w:ilvl w:val="0"/>
          <w:numId w:val="6"/>
        </w:numPr>
        <w:spacing w:after="0" w:line="276" w:lineRule="auto"/>
        <w:ind w:left="709" w:hanging="283"/>
        <w:jc w:val="both"/>
        <w:rPr>
          <w:rFonts w:ascii="Calibri" w:eastAsia="Calibri" w:hAnsi="Calibri" w:cs="Calibri"/>
          <w:color w:val="000000"/>
        </w:rPr>
      </w:pPr>
      <w:r w:rsidRPr="006C69B9">
        <w:rPr>
          <w:rFonts w:ascii="Calibri" w:eastAsia="Calibri" w:hAnsi="Calibri" w:cs="Calibri"/>
          <w:color w:val="000000"/>
        </w:rPr>
        <w:t xml:space="preserve">1.543 nastavnik, </w:t>
      </w:r>
    </w:p>
    <w:p w:rsidR="006C69B9" w:rsidRPr="006C69B9" w:rsidRDefault="006C69B9" w:rsidP="00F85905">
      <w:pPr>
        <w:numPr>
          <w:ilvl w:val="0"/>
          <w:numId w:val="6"/>
        </w:numPr>
        <w:spacing w:after="0" w:line="276" w:lineRule="auto"/>
        <w:ind w:left="709" w:hanging="283"/>
        <w:jc w:val="both"/>
        <w:rPr>
          <w:rFonts w:ascii="Calibri" w:eastAsia="Calibri" w:hAnsi="Calibri" w:cs="Calibri"/>
          <w:color w:val="000000"/>
        </w:rPr>
      </w:pPr>
      <w:r w:rsidRPr="006C69B9">
        <w:rPr>
          <w:rFonts w:ascii="Calibri" w:eastAsia="Calibri" w:hAnsi="Calibri" w:cs="Calibri"/>
          <w:color w:val="000000"/>
        </w:rPr>
        <w:t>50  direktora,</w:t>
      </w:r>
    </w:p>
    <w:p w:rsidR="006C69B9" w:rsidRPr="006C69B9" w:rsidRDefault="006C69B9" w:rsidP="00F85905">
      <w:pPr>
        <w:numPr>
          <w:ilvl w:val="0"/>
          <w:numId w:val="6"/>
        </w:numPr>
        <w:spacing w:after="0" w:line="276" w:lineRule="auto"/>
        <w:ind w:left="709" w:hanging="283"/>
        <w:jc w:val="both"/>
        <w:rPr>
          <w:rFonts w:ascii="Calibri" w:eastAsia="Calibri" w:hAnsi="Calibri" w:cs="Calibri"/>
          <w:color w:val="000000"/>
        </w:rPr>
      </w:pPr>
      <w:r w:rsidRPr="006C69B9">
        <w:rPr>
          <w:rFonts w:ascii="Calibri" w:eastAsia="Calibri" w:hAnsi="Calibri" w:cs="Calibri"/>
          <w:color w:val="000000"/>
        </w:rPr>
        <w:t>14 pomoćnika direktora,</w:t>
      </w:r>
    </w:p>
    <w:p w:rsidR="006C69B9" w:rsidRPr="006C69B9" w:rsidRDefault="006C69B9" w:rsidP="00F85905">
      <w:pPr>
        <w:numPr>
          <w:ilvl w:val="0"/>
          <w:numId w:val="6"/>
        </w:numPr>
        <w:spacing w:after="0" w:line="276" w:lineRule="auto"/>
        <w:ind w:left="709" w:hanging="283"/>
        <w:jc w:val="both"/>
        <w:rPr>
          <w:rFonts w:ascii="Calibri" w:eastAsia="Calibri" w:hAnsi="Calibri" w:cs="Calibri"/>
          <w:color w:val="000000"/>
        </w:rPr>
      </w:pPr>
      <w:r w:rsidRPr="006C69B9">
        <w:rPr>
          <w:rFonts w:ascii="Calibri" w:eastAsia="Calibri" w:hAnsi="Calibri" w:cs="Calibri"/>
          <w:color w:val="000000"/>
        </w:rPr>
        <w:t>91 stručnih saradnika i</w:t>
      </w:r>
    </w:p>
    <w:p w:rsidR="006C69B9" w:rsidRPr="006C69B9" w:rsidRDefault="006C69B9" w:rsidP="00F85905">
      <w:pPr>
        <w:numPr>
          <w:ilvl w:val="0"/>
          <w:numId w:val="6"/>
        </w:numPr>
        <w:spacing w:after="0" w:line="276" w:lineRule="auto"/>
        <w:ind w:left="709" w:hanging="283"/>
        <w:jc w:val="both"/>
        <w:rPr>
          <w:rFonts w:ascii="Calibri" w:eastAsia="Calibri" w:hAnsi="Calibri" w:cs="Calibri"/>
          <w:color w:val="000000"/>
        </w:rPr>
      </w:pPr>
      <w:r w:rsidRPr="006C69B9">
        <w:rPr>
          <w:rFonts w:ascii="Calibri" w:eastAsia="Calibri" w:hAnsi="Calibri" w:cs="Calibri"/>
          <w:color w:val="000000"/>
        </w:rPr>
        <w:t>369 administrativno – tehničkog osoblja.</w:t>
      </w:r>
    </w:p>
    <w:p w:rsidR="006C69B9" w:rsidRPr="006C69B9" w:rsidRDefault="006C69B9" w:rsidP="006C69B9">
      <w:pPr>
        <w:spacing w:after="0" w:line="276" w:lineRule="auto"/>
        <w:ind w:right="545" w:firstLine="426"/>
        <w:jc w:val="both"/>
        <w:rPr>
          <w:rFonts w:ascii="Calibri" w:eastAsia="Calibri" w:hAnsi="Calibri" w:cs="Calibri"/>
          <w:color w:val="000000"/>
        </w:rPr>
      </w:pPr>
      <w:r w:rsidRPr="006C69B9">
        <w:rPr>
          <w:rFonts w:ascii="Calibri" w:eastAsia="Calibri" w:hAnsi="Calibri" w:cs="Calibri"/>
          <w:color w:val="000000"/>
        </w:rPr>
        <w:t xml:space="preserve">Broj nastavnika predstavlja fizički broj osoba. Veći broj ih je bez pune nastavne norme. </w:t>
      </w:r>
    </w:p>
    <w:p w:rsidR="006C69B9" w:rsidRPr="006C69B9" w:rsidRDefault="006C69B9" w:rsidP="006C69B9">
      <w:pPr>
        <w:spacing w:line="276" w:lineRule="auto"/>
        <w:jc w:val="center"/>
        <w:rPr>
          <w:rFonts w:ascii="Calibri" w:eastAsia="Calibri" w:hAnsi="Calibri" w:cs="Calibri"/>
        </w:rPr>
      </w:pPr>
    </w:p>
    <w:p w:rsidR="006C69B9" w:rsidRPr="006C69B9" w:rsidRDefault="006C69B9" w:rsidP="006C69B9">
      <w:pPr>
        <w:widowControl w:val="0"/>
        <w:autoSpaceDE w:val="0"/>
        <w:autoSpaceDN w:val="0"/>
        <w:spacing w:before="116" w:after="0"/>
        <w:ind w:left="260" w:right="494"/>
        <w:jc w:val="both"/>
        <w:rPr>
          <w:rFonts w:ascii="Calibri" w:eastAsia="Calibri" w:hAnsi="Calibri" w:cs="Calibri"/>
        </w:rPr>
      </w:pPr>
    </w:p>
    <w:p w:rsidR="006C69B9" w:rsidRPr="006C69B9" w:rsidRDefault="006C69B9" w:rsidP="006C69B9">
      <w:pPr>
        <w:widowControl w:val="0"/>
        <w:autoSpaceDE w:val="0"/>
        <w:autoSpaceDN w:val="0"/>
        <w:spacing w:before="116" w:after="0"/>
        <w:ind w:left="260" w:right="494"/>
        <w:jc w:val="both"/>
        <w:rPr>
          <w:rFonts w:ascii="Calibri" w:eastAsia="Calibri" w:hAnsi="Calibri" w:cs="Calibri"/>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lastRenderedPageBreak/>
        <w:t>Grafikon 5 Broj upisanih učenika u osnovne škole od 2015.-2019.</w:t>
      </w:r>
    </w:p>
    <w:p w:rsidR="006C69B9" w:rsidRPr="006C69B9" w:rsidRDefault="006C69B9" w:rsidP="006C69B9">
      <w:pPr>
        <w:spacing w:line="276" w:lineRule="auto"/>
        <w:jc w:val="both"/>
        <w:rPr>
          <w:rFonts w:ascii="Calibri" w:eastAsia="Calibri" w:hAnsi="Calibri" w:cs="Calibri"/>
          <w:b/>
          <w:i/>
          <w:color w:val="FF0000"/>
        </w:rPr>
      </w:pPr>
      <w:r w:rsidRPr="006C69B9">
        <w:rPr>
          <w:rFonts w:ascii="Calibri" w:eastAsia="Calibri" w:hAnsi="Calibri" w:cs="Times New Roman"/>
          <w:noProof/>
          <w:lang w:eastAsia="hr-HR"/>
        </w:rPr>
        <w:drawing>
          <wp:inline distT="0" distB="0" distL="0" distR="0">
            <wp:extent cx="5354955" cy="2824843"/>
            <wp:effectExtent l="19050" t="0" r="17145" b="0"/>
            <wp:docPr id="71"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Calibri" w:eastAsia="Calibri" w:hAnsi="Calibri" w:cs="Times New Roman"/>
          <w:b/>
          <w:i/>
          <w:sz w:val="18"/>
          <w:szCs w:val="18"/>
          <w:lang w:val="bs-Latn-BA"/>
        </w:rPr>
        <w:t>Izvor podataka: Federalni zavod za statistiku</w:t>
      </w:r>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37" w:name="_Toc53350353"/>
      <w:bookmarkStart w:id="38" w:name="_Toc57573221"/>
      <w:r w:rsidRPr="006C69B9">
        <w:rPr>
          <w:rFonts w:ascii="Calibri" w:eastAsia="Calibri" w:hAnsi="Calibri" w:cs="Times New Roman"/>
          <w:b/>
          <w:bCs/>
          <w:color w:val="4BACC6"/>
          <w:szCs w:val="26"/>
          <w:lang w:val="bs-Latn-BA" w:eastAsia="hr-HR"/>
        </w:rPr>
        <w:t>Srednje obrazovanje</w:t>
      </w:r>
      <w:bookmarkEnd w:id="37"/>
      <w:bookmarkEnd w:id="38"/>
    </w:p>
    <w:p w:rsidR="006C69B9" w:rsidRPr="006C69B9" w:rsidRDefault="006C69B9" w:rsidP="006C69B9">
      <w:pPr>
        <w:spacing w:after="0" w:line="276" w:lineRule="auto"/>
        <w:ind w:right="403"/>
        <w:jc w:val="both"/>
        <w:rPr>
          <w:rFonts w:ascii="Calibri" w:eastAsia="Calibri" w:hAnsi="Calibri" w:cs="Times New Roman"/>
          <w:lang w:val="bs-Latn-BA"/>
        </w:rPr>
      </w:pPr>
      <w:r w:rsidRPr="006C69B9">
        <w:rPr>
          <w:rFonts w:ascii="Calibri" w:eastAsia="Calibri" w:hAnsi="Calibri" w:cs="Times New Roman"/>
          <w:lang w:val="bs-Latn-BA"/>
        </w:rPr>
        <w:t>Srednjoškolsko obrazovanje nije obavezno i obuhvaća populaciju učenika uzrasta od 15 godina do 19 godina. Na području Hercegovačko-neretvanske županije postoji 29 srednjih škola od čega su 3 gimnazije, a zastupljene su i tehničke i stručne škole.</w:t>
      </w:r>
    </w:p>
    <w:p w:rsidR="006C69B9" w:rsidRPr="006C69B9" w:rsidRDefault="006C69B9" w:rsidP="006C69B9">
      <w:pPr>
        <w:ind w:right="403"/>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 xml:space="preserve">U školskoj 2018./2019. godini, u sistem javnog srednjeg obrazovanja bilo je uključeno  7.693 učenika, razvrstanih u 455 razrednih odjela. U ovaj broj uključeno je 109 učenika muzičkih škola koji status redovnog učenika, uglavnom, imaju u školi koju paralelno pohađaju.  Redovne javne privatne škole pohađa 227 učenika, IPG sa 24 učenika raspoređena u 5 razrednih odjela i 203 učenika UWC koledža raspoređenih na 6 izabranih grupa. </w:t>
      </w:r>
    </w:p>
    <w:p w:rsidR="006C69B9" w:rsidRPr="006C69B9" w:rsidRDefault="006C69B9" w:rsidP="006C69B9">
      <w:pPr>
        <w:jc w:val="both"/>
        <w:rPr>
          <w:rFonts w:ascii="Calibri" w:eastAsia="Arial Unicode MS" w:hAnsi="Calibri" w:cs="Calibri"/>
          <w:color w:val="000000"/>
          <w:lang w:val="bs-Latn-BA"/>
        </w:rPr>
      </w:pPr>
      <w:r w:rsidRPr="006C69B9">
        <w:rPr>
          <w:rFonts w:ascii="Calibri" w:eastAsia="Arial Unicode MS" w:hAnsi="Calibri" w:cs="Calibri"/>
          <w:color w:val="000000"/>
          <w:lang w:val="bs-Latn-BA"/>
        </w:rPr>
        <w:t>U tekućoj školskoj godini smanjen je broj srednjoškolaca za 241 učenika.</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54. Broj učenika i odjela u 2018/19 i 2019/20. </w:t>
      </w:r>
    </w:p>
    <w:tbl>
      <w:tblPr>
        <w:tblStyle w:val="GridTable4-Accent511"/>
        <w:tblW w:w="0" w:type="auto"/>
        <w:jc w:val="center"/>
        <w:tblLayout w:type="fixed"/>
        <w:tblLook w:val="04A0"/>
      </w:tblPr>
      <w:tblGrid>
        <w:gridCol w:w="2308"/>
        <w:gridCol w:w="1336"/>
        <w:gridCol w:w="1215"/>
        <w:gridCol w:w="1457"/>
        <w:gridCol w:w="1338"/>
      </w:tblGrid>
      <w:tr w:rsidR="006C69B9" w:rsidRPr="006C69B9" w:rsidTr="006C69B9">
        <w:trPr>
          <w:cnfStyle w:val="100000000000"/>
          <w:trHeight w:val="334"/>
          <w:jc w:val="center"/>
        </w:trPr>
        <w:tc>
          <w:tcPr>
            <w:cnfStyle w:val="001000000000"/>
            <w:tcW w:w="2308" w:type="dxa"/>
            <w:vMerge w:val="restart"/>
          </w:tcPr>
          <w:p w:rsidR="006C69B9" w:rsidRPr="006C69B9" w:rsidRDefault="006C69B9" w:rsidP="006C69B9">
            <w:pPr>
              <w:jc w:val="both"/>
              <w:rPr>
                <w:rFonts w:ascii="Calibri" w:eastAsia="Arial Unicode MS" w:hAnsi="Calibri" w:cs="Calibri"/>
                <w:sz w:val="20"/>
                <w:szCs w:val="20"/>
                <w:lang w:val="bs-Latn-BA"/>
              </w:rPr>
            </w:pPr>
            <w:r w:rsidRPr="006C69B9">
              <w:rPr>
                <w:rFonts w:ascii="Calibri" w:eastAsia="Arial Unicode MS" w:hAnsi="Calibri" w:cs="Calibri"/>
                <w:sz w:val="20"/>
                <w:szCs w:val="20"/>
                <w:lang w:val="bs-Latn-BA"/>
              </w:rPr>
              <w:t>Vrsta srednje škole</w:t>
            </w:r>
          </w:p>
        </w:tc>
        <w:tc>
          <w:tcPr>
            <w:tcW w:w="2551" w:type="dxa"/>
            <w:gridSpan w:val="2"/>
          </w:tcPr>
          <w:p w:rsidR="006C69B9" w:rsidRPr="006C69B9" w:rsidRDefault="006C69B9" w:rsidP="006C69B9">
            <w:pPr>
              <w:jc w:val="both"/>
              <w:cnfStyle w:val="100000000000"/>
              <w:rPr>
                <w:rFonts w:ascii="Calibri" w:eastAsia="Arial Unicode MS" w:hAnsi="Calibri" w:cs="Calibri"/>
                <w:sz w:val="20"/>
                <w:szCs w:val="20"/>
                <w:lang w:val="bs-Latn-BA"/>
              </w:rPr>
            </w:pPr>
            <w:r w:rsidRPr="006C69B9">
              <w:rPr>
                <w:rFonts w:ascii="Calibri" w:eastAsia="Arial Unicode MS" w:hAnsi="Calibri" w:cs="Calibri"/>
                <w:sz w:val="20"/>
                <w:szCs w:val="20"/>
                <w:lang w:val="bs-Latn-BA"/>
              </w:rPr>
              <w:t>Školska godina 2018/2019.</w:t>
            </w:r>
          </w:p>
        </w:tc>
        <w:tc>
          <w:tcPr>
            <w:tcW w:w="2795" w:type="dxa"/>
            <w:gridSpan w:val="2"/>
          </w:tcPr>
          <w:p w:rsidR="006C69B9" w:rsidRPr="006C69B9" w:rsidRDefault="006C69B9" w:rsidP="006C69B9">
            <w:pPr>
              <w:jc w:val="both"/>
              <w:cnfStyle w:val="100000000000"/>
              <w:rPr>
                <w:rFonts w:ascii="Calibri" w:eastAsia="Arial Unicode MS" w:hAnsi="Calibri" w:cs="Calibri"/>
                <w:sz w:val="20"/>
                <w:szCs w:val="20"/>
                <w:lang w:val="bs-Latn-BA"/>
              </w:rPr>
            </w:pPr>
            <w:r w:rsidRPr="006C69B9">
              <w:rPr>
                <w:rFonts w:ascii="Calibri" w:eastAsia="Arial Unicode MS" w:hAnsi="Calibri" w:cs="Calibri"/>
                <w:sz w:val="20"/>
                <w:szCs w:val="20"/>
                <w:lang w:val="bs-Latn-BA"/>
              </w:rPr>
              <w:t>Školska godina 2019./2020.</w:t>
            </w:r>
          </w:p>
        </w:tc>
      </w:tr>
      <w:tr w:rsidR="006C69B9" w:rsidRPr="006C69B9" w:rsidTr="00D33343">
        <w:trPr>
          <w:trHeight w:val="450"/>
          <w:jc w:val="center"/>
        </w:trPr>
        <w:tc>
          <w:tcPr>
            <w:cnfStyle w:val="001000000000"/>
            <w:tcW w:w="2308" w:type="dxa"/>
            <w:vMerge/>
          </w:tcPr>
          <w:p w:rsidR="006C69B9" w:rsidRPr="006C69B9" w:rsidRDefault="006C69B9" w:rsidP="006C69B9">
            <w:pPr>
              <w:jc w:val="both"/>
              <w:rPr>
                <w:rFonts w:ascii="Calibri" w:eastAsia="Arial Unicode MS" w:hAnsi="Calibri" w:cs="Calibri"/>
                <w:color w:val="FFFFFF"/>
                <w:sz w:val="20"/>
                <w:szCs w:val="20"/>
                <w:lang w:val="bs-Latn-BA"/>
              </w:rPr>
            </w:pPr>
          </w:p>
        </w:tc>
        <w:tc>
          <w:tcPr>
            <w:tcW w:w="1336"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 xml:space="preserve">Broj učenika </w:t>
            </w:r>
          </w:p>
        </w:tc>
        <w:tc>
          <w:tcPr>
            <w:tcW w:w="1215"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 xml:space="preserve">Broj odjela </w:t>
            </w:r>
          </w:p>
        </w:tc>
        <w:tc>
          <w:tcPr>
            <w:tcW w:w="1457"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 xml:space="preserve">Broj učenika </w:t>
            </w:r>
          </w:p>
        </w:tc>
        <w:tc>
          <w:tcPr>
            <w:tcW w:w="1337"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 xml:space="preserve">Broj odjela </w:t>
            </w:r>
          </w:p>
        </w:tc>
      </w:tr>
      <w:tr w:rsidR="006C69B9" w:rsidRPr="006C69B9" w:rsidTr="00D33343">
        <w:trPr>
          <w:trHeight w:val="296"/>
          <w:jc w:val="center"/>
        </w:trPr>
        <w:tc>
          <w:tcPr>
            <w:cnfStyle w:val="001000000000"/>
            <w:tcW w:w="2308" w:type="dxa"/>
          </w:tcPr>
          <w:p w:rsidR="006C69B9" w:rsidRPr="006C69B9" w:rsidRDefault="006C69B9" w:rsidP="006C69B9">
            <w:pPr>
              <w:jc w:val="both"/>
              <w:rPr>
                <w:rFonts w:ascii="Calibri" w:eastAsia="Arial Unicode MS" w:hAnsi="Calibri" w:cs="Calibri"/>
                <w:color w:val="FFFFFF"/>
                <w:sz w:val="20"/>
                <w:szCs w:val="20"/>
                <w:lang w:val="bs-Latn-BA"/>
              </w:rPr>
            </w:pPr>
            <w:r w:rsidRPr="006C69B9">
              <w:rPr>
                <w:rFonts w:ascii="Calibri" w:eastAsia="Arial Unicode MS" w:hAnsi="Calibri" w:cs="Calibri"/>
                <w:color w:val="FFFFFF"/>
                <w:sz w:val="20"/>
                <w:szCs w:val="20"/>
                <w:lang w:val="bs-Latn-BA"/>
              </w:rPr>
              <w:t xml:space="preserve">Javna škola </w:t>
            </w:r>
          </w:p>
        </w:tc>
        <w:tc>
          <w:tcPr>
            <w:tcW w:w="1336"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7.355</w:t>
            </w:r>
          </w:p>
        </w:tc>
        <w:tc>
          <w:tcPr>
            <w:tcW w:w="1215"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433</w:t>
            </w:r>
          </w:p>
        </w:tc>
        <w:tc>
          <w:tcPr>
            <w:tcW w:w="145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7.128</w:t>
            </w:r>
          </w:p>
        </w:tc>
        <w:tc>
          <w:tcPr>
            <w:tcW w:w="133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432</w:t>
            </w:r>
          </w:p>
        </w:tc>
      </w:tr>
      <w:tr w:rsidR="006C69B9" w:rsidRPr="006C69B9" w:rsidTr="00D33343">
        <w:trPr>
          <w:trHeight w:val="296"/>
          <w:jc w:val="center"/>
        </w:trPr>
        <w:tc>
          <w:tcPr>
            <w:cnfStyle w:val="001000000000"/>
            <w:tcW w:w="2308" w:type="dxa"/>
          </w:tcPr>
          <w:p w:rsidR="006C69B9" w:rsidRPr="006C69B9" w:rsidRDefault="006C69B9" w:rsidP="006C69B9">
            <w:pPr>
              <w:jc w:val="both"/>
              <w:rPr>
                <w:rFonts w:ascii="Calibri" w:eastAsia="Arial Unicode MS" w:hAnsi="Calibri" w:cs="Calibri"/>
                <w:color w:val="FFFFFF"/>
                <w:sz w:val="20"/>
                <w:szCs w:val="20"/>
                <w:lang w:val="bs-Latn-BA"/>
              </w:rPr>
            </w:pPr>
            <w:r w:rsidRPr="006C69B9">
              <w:rPr>
                <w:rFonts w:ascii="Calibri" w:eastAsia="Arial Unicode MS" w:hAnsi="Calibri" w:cs="Calibri"/>
                <w:color w:val="FFFFFF"/>
                <w:sz w:val="20"/>
                <w:szCs w:val="20"/>
                <w:lang w:val="bs-Latn-BA"/>
              </w:rPr>
              <w:t>Javna muzička škola</w:t>
            </w:r>
          </w:p>
        </w:tc>
        <w:tc>
          <w:tcPr>
            <w:tcW w:w="1336"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109</w:t>
            </w:r>
          </w:p>
        </w:tc>
        <w:tc>
          <w:tcPr>
            <w:tcW w:w="1215"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11</w:t>
            </w:r>
          </w:p>
        </w:tc>
        <w:tc>
          <w:tcPr>
            <w:tcW w:w="145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108</w:t>
            </w:r>
          </w:p>
        </w:tc>
        <w:tc>
          <w:tcPr>
            <w:tcW w:w="133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13</w:t>
            </w:r>
          </w:p>
        </w:tc>
      </w:tr>
      <w:tr w:rsidR="006C69B9" w:rsidRPr="006C69B9" w:rsidTr="00D33343">
        <w:trPr>
          <w:trHeight w:val="306"/>
          <w:jc w:val="center"/>
        </w:trPr>
        <w:tc>
          <w:tcPr>
            <w:cnfStyle w:val="001000000000"/>
            <w:tcW w:w="2308" w:type="dxa"/>
          </w:tcPr>
          <w:p w:rsidR="006C69B9" w:rsidRPr="006C69B9" w:rsidRDefault="006C69B9" w:rsidP="006C69B9">
            <w:pPr>
              <w:jc w:val="both"/>
              <w:rPr>
                <w:rFonts w:ascii="Calibri" w:eastAsia="Arial Unicode MS" w:hAnsi="Calibri" w:cs="Calibri"/>
                <w:color w:val="FFFFFF"/>
                <w:sz w:val="20"/>
                <w:szCs w:val="20"/>
                <w:lang w:val="bs-Latn-BA"/>
              </w:rPr>
            </w:pPr>
            <w:r w:rsidRPr="006C69B9">
              <w:rPr>
                <w:rFonts w:ascii="Calibri" w:eastAsia="Arial Unicode MS" w:hAnsi="Calibri" w:cs="Calibri"/>
                <w:color w:val="FFFFFF"/>
                <w:sz w:val="20"/>
                <w:szCs w:val="20"/>
                <w:lang w:val="bs-Latn-BA"/>
              </w:rPr>
              <w:t>IPG s pravom javnosti</w:t>
            </w:r>
          </w:p>
        </w:tc>
        <w:tc>
          <w:tcPr>
            <w:tcW w:w="1336"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26</w:t>
            </w:r>
          </w:p>
        </w:tc>
        <w:tc>
          <w:tcPr>
            <w:tcW w:w="1215"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5</w:t>
            </w:r>
          </w:p>
        </w:tc>
        <w:tc>
          <w:tcPr>
            <w:tcW w:w="145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15</w:t>
            </w:r>
          </w:p>
        </w:tc>
        <w:tc>
          <w:tcPr>
            <w:tcW w:w="133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4</w:t>
            </w:r>
          </w:p>
        </w:tc>
      </w:tr>
      <w:tr w:rsidR="006C69B9" w:rsidRPr="006C69B9" w:rsidTr="00D33343">
        <w:trPr>
          <w:trHeight w:val="296"/>
          <w:jc w:val="center"/>
        </w:trPr>
        <w:tc>
          <w:tcPr>
            <w:cnfStyle w:val="001000000000"/>
            <w:tcW w:w="2308" w:type="dxa"/>
          </w:tcPr>
          <w:p w:rsidR="006C69B9" w:rsidRPr="006C69B9" w:rsidRDefault="006C69B9" w:rsidP="006C69B9">
            <w:pPr>
              <w:jc w:val="both"/>
              <w:rPr>
                <w:rFonts w:ascii="Calibri" w:eastAsia="Arial Unicode MS" w:hAnsi="Calibri" w:cs="Calibri"/>
                <w:color w:val="FFFFFF"/>
                <w:sz w:val="20"/>
                <w:szCs w:val="20"/>
                <w:lang w:val="bs-Latn-BA"/>
              </w:rPr>
            </w:pPr>
            <w:r w:rsidRPr="006C69B9">
              <w:rPr>
                <w:rFonts w:ascii="Calibri" w:eastAsia="Arial Unicode MS" w:hAnsi="Calibri" w:cs="Calibri"/>
                <w:color w:val="FFFFFF"/>
                <w:sz w:val="20"/>
                <w:szCs w:val="20"/>
                <w:lang w:val="bs-Latn-BA"/>
              </w:rPr>
              <w:t>UWC sa pravom javnosti</w:t>
            </w:r>
          </w:p>
        </w:tc>
        <w:tc>
          <w:tcPr>
            <w:tcW w:w="1336"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203</w:t>
            </w:r>
          </w:p>
        </w:tc>
        <w:tc>
          <w:tcPr>
            <w:tcW w:w="1215"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6</w:t>
            </w:r>
          </w:p>
        </w:tc>
        <w:tc>
          <w:tcPr>
            <w:tcW w:w="145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200</w:t>
            </w:r>
          </w:p>
        </w:tc>
        <w:tc>
          <w:tcPr>
            <w:tcW w:w="1337" w:type="dxa"/>
          </w:tcPr>
          <w:p w:rsidR="006C69B9" w:rsidRPr="006C69B9" w:rsidRDefault="006C69B9" w:rsidP="006C69B9">
            <w:pPr>
              <w:jc w:val="both"/>
              <w:cnfStyle w:val="000000000000"/>
              <w:rPr>
                <w:rFonts w:ascii="Calibri" w:eastAsia="Arial Unicode MS" w:hAnsi="Calibri" w:cs="Calibri"/>
                <w:color w:val="000000"/>
                <w:sz w:val="20"/>
                <w:szCs w:val="20"/>
                <w:lang w:val="bs-Latn-BA"/>
              </w:rPr>
            </w:pPr>
            <w:r w:rsidRPr="006C69B9">
              <w:rPr>
                <w:rFonts w:ascii="Calibri" w:eastAsia="Arial Unicode MS" w:hAnsi="Calibri" w:cs="Calibri"/>
                <w:color w:val="000000"/>
                <w:sz w:val="20"/>
                <w:szCs w:val="20"/>
                <w:lang w:val="bs-Latn-BA"/>
              </w:rPr>
              <w:t>6</w:t>
            </w:r>
          </w:p>
        </w:tc>
      </w:tr>
      <w:tr w:rsidR="006C69B9" w:rsidRPr="006C69B9" w:rsidTr="00D33343">
        <w:trPr>
          <w:trHeight w:val="316"/>
          <w:jc w:val="center"/>
        </w:trPr>
        <w:tc>
          <w:tcPr>
            <w:cnfStyle w:val="001000000000"/>
            <w:tcW w:w="2308" w:type="dxa"/>
          </w:tcPr>
          <w:p w:rsidR="006C69B9" w:rsidRPr="006C69B9" w:rsidRDefault="006C69B9" w:rsidP="006C69B9">
            <w:pPr>
              <w:jc w:val="both"/>
              <w:rPr>
                <w:rFonts w:ascii="Calibri" w:eastAsia="Arial Unicode MS" w:hAnsi="Calibri" w:cs="Calibri"/>
                <w:color w:val="FFFFFF"/>
                <w:sz w:val="20"/>
                <w:szCs w:val="20"/>
                <w:lang w:val="bs-Latn-BA"/>
              </w:rPr>
            </w:pPr>
            <w:r w:rsidRPr="006C69B9">
              <w:rPr>
                <w:rFonts w:ascii="Calibri" w:eastAsia="Arial Unicode MS" w:hAnsi="Calibri" w:cs="Calibri"/>
                <w:color w:val="FFFFFF"/>
                <w:sz w:val="20"/>
                <w:szCs w:val="20"/>
                <w:lang w:val="bs-Latn-BA"/>
              </w:rPr>
              <w:t xml:space="preserve">Ukupno </w:t>
            </w:r>
          </w:p>
        </w:tc>
        <w:tc>
          <w:tcPr>
            <w:tcW w:w="1336"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7.693</w:t>
            </w:r>
          </w:p>
        </w:tc>
        <w:tc>
          <w:tcPr>
            <w:tcW w:w="1215"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455</w:t>
            </w:r>
          </w:p>
        </w:tc>
        <w:tc>
          <w:tcPr>
            <w:tcW w:w="1457"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7.452</w:t>
            </w:r>
          </w:p>
        </w:tc>
        <w:tc>
          <w:tcPr>
            <w:tcW w:w="1337" w:type="dxa"/>
          </w:tcPr>
          <w:p w:rsidR="006C69B9" w:rsidRPr="006C69B9" w:rsidRDefault="006C69B9" w:rsidP="006C69B9">
            <w:pPr>
              <w:jc w:val="both"/>
              <w:cnfStyle w:val="000000000000"/>
              <w:rPr>
                <w:rFonts w:ascii="Calibri" w:eastAsia="Arial Unicode MS" w:hAnsi="Calibri" w:cs="Calibri"/>
                <w:b/>
                <w:color w:val="000000"/>
                <w:sz w:val="20"/>
                <w:szCs w:val="20"/>
                <w:lang w:val="bs-Latn-BA"/>
              </w:rPr>
            </w:pPr>
            <w:r w:rsidRPr="006C69B9">
              <w:rPr>
                <w:rFonts w:ascii="Calibri" w:eastAsia="Arial Unicode MS" w:hAnsi="Calibri" w:cs="Calibri"/>
                <w:b/>
                <w:color w:val="000000"/>
                <w:sz w:val="20"/>
                <w:szCs w:val="20"/>
                <w:lang w:val="bs-Latn-BA"/>
              </w:rPr>
              <w:t>455</w:t>
            </w:r>
          </w:p>
        </w:tc>
      </w:tr>
    </w:tbl>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Segoe UI" w:eastAsia="Arial Unicode MS" w:hAnsi="Segoe UI" w:cs="Segoe UI"/>
          <w:color w:val="000000"/>
          <w:sz w:val="18"/>
          <w:szCs w:val="18"/>
          <w:lang w:val="bs-Latn-BA"/>
        </w:rPr>
        <w:t xml:space="preserve">     </w:t>
      </w:r>
      <w:r w:rsidRPr="006C69B9">
        <w:rPr>
          <w:rFonts w:ascii="Calibri" w:eastAsia="Calibri" w:hAnsi="Calibri" w:cs="Times New Roman"/>
          <w:b/>
          <w:i/>
          <w:sz w:val="18"/>
          <w:szCs w:val="18"/>
          <w:lang w:val="bs-Latn-BA"/>
        </w:rPr>
        <w:t>Izvor podataka: Ministarstvo obrazovanja, nauke, kulture i sporta HNŽ</w:t>
      </w:r>
    </w:p>
    <w:p w:rsidR="006C69B9" w:rsidRPr="006C69B9" w:rsidRDefault="006C69B9" w:rsidP="006C69B9">
      <w:pPr>
        <w:jc w:val="both"/>
        <w:rPr>
          <w:rFonts w:ascii="Segoe UI" w:eastAsia="Arial Unicode MS" w:hAnsi="Segoe UI" w:cs="Segoe UI"/>
          <w:color w:val="000000"/>
          <w:sz w:val="18"/>
          <w:szCs w:val="18"/>
          <w:lang w:val="bs-Latn-BA"/>
        </w:rPr>
      </w:pPr>
    </w:p>
    <w:p w:rsidR="006C69B9" w:rsidRPr="006C69B9" w:rsidRDefault="006C69B9" w:rsidP="006C69B9">
      <w:pPr>
        <w:spacing w:after="0" w:line="276" w:lineRule="auto"/>
        <w:jc w:val="both"/>
        <w:rPr>
          <w:rFonts w:ascii="Calibri" w:eastAsia="Calibri" w:hAnsi="Calibri" w:cs="Calibri"/>
          <w:color w:val="000000"/>
        </w:rPr>
      </w:pPr>
      <w:r w:rsidRPr="006C69B9">
        <w:rPr>
          <w:rFonts w:ascii="Calibri" w:eastAsia="Calibri" w:hAnsi="Calibri" w:cs="Calibri"/>
          <w:color w:val="000000"/>
        </w:rPr>
        <w:t xml:space="preserve">Grad Mostar ima 19 srednjih redovnih škola.  </w:t>
      </w:r>
    </w:p>
    <w:p w:rsidR="006C69B9" w:rsidRPr="006C69B9" w:rsidRDefault="006C69B9" w:rsidP="006C69B9">
      <w:pPr>
        <w:rPr>
          <w:rFonts w:ascii="Calibri" w:eastAsia="Calibri" w:hAnsi="Calibri" w:cs="Times New Roman"/>
          <w:lang w:eastAsia="hr-HR"/>
        </w:rPr>
      </w:pPr>
    </w:p>
    <w:p w:rsidR="006C69B9" w:rsidRPr="006C69B9" w:rsidRDefault="006C69B9" w:rsidP="006C69B9">
      <w:pPr>
        <w:keepNext/>
        <w:spacing w:after="0" w:line="276" w:lineRule="auto"/>
        <w:jc w:val="both"/>
        <w:rPr>
          <w:rFonts w:ascii="Calibri" w:eastAsia="Calibri" w:hAnsi="Calibri" w:cs="Times New Roman"/>
          <w:lang w:val="bs-Latn-BA"/>
        </w:rPr>
      </w:pPr>
      <w:r w:rsidRPr="006C69B9">
        <w:rPr>
          <w:rFonts w:ascii="Calibri" w:eastAsia="Calibri" w:hAnsi="Calibri" w:cs="Times New Roman"/>
          <w:noProof/>
          <w:lang w:eastAsia="hr-HR"/>
        </w:rPr>
        <w:lastRenderedPageBreak/>
        <w:drawing>
          <wp:inline distT="0" distB="0" distL="0" distR="0">
            <wp:extent cx="5354955" cy="2824843"/>
            <wp:effectExtent l="19050" t="0" r="17145" b="0"/>
            <wp:docPr id="72"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C69B9" w:rsidRPr="006C69B9" w:rsidRDefault="006C69B9" w:rsidP="006C69B9">
      <w:pPr>
        <w:keepNext/>
        <w:spacing w:after="80" w:line="240" w:lineRule="auto"/>
        <w:jc w:val="center"/>
        <w:rPr>
          <w:rFonts w:ascii="Calibri" w:eastAsia="Calibri" w:hAnsi="Calibri" w:cs="Calibri"/>
          <w:bCs/>
          <w:i/>
          <w:color w:val="31849B"/>
          <w:sz w:val="20"/>
        </w:rPr>
      </w:pPr>
      <w:r w:rsidRPr="006C69B9">
        <w:rPr>
          <w:rFonts w:ascii="Calibri" w:eastAsia="Calibri" w:hAnsi="Calibri" w:cs="Calibri Light"/>
          <w:bCs/>
          <w:i/>
          <w:color w:val="31849B"/>
          <w:sz w:val="20"/>
        </w:rPr>
        <w:t>Slika 6.Broj upisanih učenika u srednje škole</w:t>
      </w:r>
    </w:p>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Calibri" w:eastAsia="Calibri" w:hAnsi="Calibri" w:cs="Times New Roman"/>
          <w:b/>
          <w:i/>
          <w:sz w:val="18"/>
          <w:szCs w:val="18"/>
          <w:lang w:val="bs-Latn-BA"/>
        </w:rPr>
        <w:t>Izvor podataka: Federalni zavod za statistiku</w:t>
      </w:r>
    </w:p>
    <w:p w:rsidR="006C69B9" w:rsidRPr="006C69B9" w:rsidRDefault="006C69B9" w:rsidP="006C69B9">
      <w:pPr>
        <w:spacing w:line="276" w:lineRule="auto"/>
        <w:jc w:val="both"/>
        <w:rPr>
          <w:rFonts w:ascii="Calibri" w:eastAsia="Calibri" w:hAnsi="Calibri" w:cs="Calibri"/>
          <w:b/>
        </w:rPr>
      </w:pPr>
    </w:p>
    <w:p w:rsidR="006C69B9" w:rsidRPr="006C69B9" w:rsidRDefault="006C69B9" w:rsidP="006C69B9">
      <w:pPr>
        <w:spacing w:line="276" w:lineRule="auto"/>
        <w:jc w:val="both"/>
        <w:rPr>
          <w:rFonts w:ascii="Calibri" w:eastAsia="Calibri" w:hAnsi="Calibri" w:cs="Calibri"/>
        </w:rPr>
      </w:pPr>
      <w:r w:rsidRPr="006C69B9">
        <w:rPr>
          <w:rFonts w:ascii="Calibri" w:eastAsia="Calibri" w:hAnsi="Calibri" w:cs="Calibri"/>
        </w:rPr>
        <w:t>U školskoj 2018./19. godini u srednje škole upisano je 7302 učenika, što je za 12% manje u odnosu na 2015./16. kada je srednju školu pohađalo 8959 učenika. Najviše učenika upisano je u Gradu Mostaru gdje ima najveći izbor i najviše škola, u Konjicu, Čitluku i Čapljini dok je najmanji broj srednjoškolaca zabilježen u Neumu.</w:t>
      </w:r>
    </w:p>
    <w:p w:rsidR="006C69B9" w:rsidRPr="006C69B9" w:rsidRDefault="006C69B9" w:rsidP="006C69B9">
      <w:pPr>
        <w:keepNext/>
        <w:spacing w:after="0" w:line="276" w:lineRule="auto"/>
        <w:jc w:val="center"/>
        <w:rPr>
          <w:rFonts w:ascii="Calibri" w:eastAsia="Calibri" w:hAnsi="Calibri" w:cs="Times New Roman"/>
          <w:lang w:val="bs-Latn-BA"/>
        </w:rPr>
      </w:pPr>
      <w:r w:rsidRPr="006C69B9">
        <w:rPr>
          <w:rFonts w:ascii="Calibri" w:eastAsia="Calibri" w:hAnsi="Calibri" w:cs="Calibri"/>
          <w:noProof/>
          <w:color w:val="000000"/>
          <w:lang w:eastAsia="hr-HR"/>
        </w:rPr>
        <w:drawing>
          <wp:inline distT="0" distB="0" distL="0" distR="0">
            <wp:extent cx="2237014" cy="3227100"/>
            <wp:effectExtent l="19050" t="0" r="0" b="0"/>
            <wp:docPr id="73" name="Slika 13" descr="C:\Users\mirja\Downloads\hnz.broj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ja\Downloads\hnz.brojevi.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1375" cy="3247817"/>
                    </a:xfrm>
                    <a:prstGeom prst="rect">
                      <a:avLst/>
                    </a:prstGeom>
                    <a:noFill/>
                    <a:ln>
                      <a:noFill/>
                    </a:ln>
                  </pic:spPr>
                </pic:pic>
              </a:graphicData>
            </a:graphic>
          </wp:inline>
        </w:drawing>
      </w:r>
    </w:p>
    <w:p w:rsidR="006C69B9" w:rsidRPr="006C69B9" w:rsidRDefault="006C69B9" w:rsidP="006C69B9">
      <w:pPr>
        <w:keepNext/>
        <w:spacing w:after="80" w:line="240" w:lineRule="auto"/>
        <w:jc w:val="center"/>
        <w:rPr>
          <w:rFonts w:ascii="Calibri" w:eastAsia="Calibri" w:hAnsi="Calibri" w:cs="Calibri"/>
          <w:bCs/>
          <w:i/>
          <w:color w:val="000000"/>
          <w:sz w:val="20"/>
        </w:rPr>
      </w:pPr>
      <w:r w:rsidRPr="006C69B9">
        <w:rPr>
          <w:rFonts w:ascii="Calibri" w:eastAsia="Calibri" w:hAnsi="Calibri" w:cs="Calibri Light"/>
          <w:bCs/>
          <w:i/>
          <w:color w:val="31849B"/>
          <w:sz w:val="20"/>
        </w:rPr>
        <w:t xml:space="preserve">Slika 7. </w:t>
      </w:r>
      <w:r w:rsidRPr="006C69B9">
        <w:rPr>
          <w:rFonts w:ascii="Calibri" w:eastAsia="Calibri" w:hAnsi="Calibri" w:cs="Calibri Light"/>
          <w:bCs/>
          <w:i/>
          <w:noProof/>
          <w:color w:val="31849B"/>
          <w:sz w:val="20"/>
        </w:rPr>
        <w:t>Broj upisanih učenika po općinama 2018./19.</w:t>
      </w:r>
    </w:p>
    <w:p w:rsidR="006C69B9" w:rsidRPr="006C69B9" w:rsidRDefault="006C69B9" w:rsidP="006C69B9">
      <w:pPr>
        <w:spacing w:before="120" w:after="0" w:line="276" w:lineRule="auto"/>
        <w:jc w:val="both"/>
        <w:rPr>
          <w:rFonts w:ascii="Calibri" w:eastAsia="Calibri" w:hAnsi="Calibri" w:cs="Calibri"/>
        </w:rPr>
      </w:pPr>
      <w:r w:rsidRPr="006C69B9">
        <w:rPr>
          <w:rFonts w:ascii="Calibri" w:eastAsia="Calibri" w:hAnsi="Calibri" w:cs="Calibri"/>
        </w:rPr>
        <w:t>Stanje infrastrukture i opremljenosti objekata osnovnog i srednjeg obrazovanja na području HNŽ je na zadovoljavajućem nivou sa potrebom za unapređenje u pojedinim segmentima (nepostojanje sportskih dvorana u školskim objektima, nemogućnost pravilnog pristupa djeci s posebnim potrebama i sl.).</w:t>
      </w:r>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39" w:name="_Toc53350354"/>
      <w:bookmarkStart w:id="40" w:name="_Toc57573222"/>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r w:rsidRPr="006C69B9">
        <w:rPr>
          <w:rFonts w:ascii="Calibri" w:eastAsia="Calibri" w:hAnsi="Calibri" w:cs="Times New Roman"/>
          <w:b/>
          <w:bCs/>
          <w:color w:val="4BACC6"/>
          <w:szCs w:val="26"/>
          <w:lang w:val="bs-Latn-BA" w:eastAsia="hr-HR"/>
        </w:rPr>
        <w:t>Visoko obrazovanje</w:t>
      </w:r>
      <w:bookmarkEnd w:id="39"/>
      <w:bookmarkEnd w:id="40"/>
    </w:p>
    <w:p w:rsidR="006C69B9" w:rsidRPr="006C69B9" w:rsidRDefault="006C69B9" w:rsidP="006C69B9">
      <w:pPr>
        <w:rPr>
          <w:rFonts w:ascii="Calibri" w:eastAsia="Calibri" w:hAnsi="Calibri" w:cs="Times New Roman"/>
          <w:lang w:eastAsia="hr-HR"/>
        </w:rPr>
      </w:pPr>
    </w:p>
    <w:p w:rsidR="006C69B9" w:rsidRPr="006C69B9" w:rsidRDefault="006C69B9" w:rsidP="006C69B9">
      <w:pPr>
        <w:spacing w:before="120" w:after="0" w:line="276" w:lineRule="auto"/>
        <w:jc w:val="both"/>
        <w:rPr>
          <w:rFonts w:ascii="Calibri" w:eastAsia="Calibri" w:hAnsi="Calibri" w:cs="Calibri"/>
        </w:rPr>
      </w:pPr>
      <w:r w:rsidRPr="006C69B9">
        <w:rPr>
          <w:rFonts w:ascii="Calibri" w:eastAsia="Calibri" w:hAnsi="Calibri" w:cs="Calibri"/>
        </w:rPr>
        <w:t xml:space="preserve">Nosioci visokog obrazovanja u Hercegovačko-neretvanskoj županiji su Univerzitet ''Džemal Bijedić'' u Mostaru i Sveučilište u Mostaru. Osim dva državna univerziteta na području županije posluju i 3 privatna visoka učilišta i to </w:t>
      </w:r>
      <w:hyperlink r:id="rId21" w:tgtFrame="_blank" w:history="1">
        <w:r w:rsidRPr="006C69B9">
          <w:rPr>
            <w:rFonts w:ascii="Calibri" w:eastAsia="Times New Roman" w:hAnsi="Calibri" w:cs="Calibri"/>
          </w:rPr>
          <w:t>Sveučilište/Univerzitet "Hercegovina"</w:t>
        </w:r>
      </w:hyperlink>
      <w:r w:rsidRPr="006C69B9">
        <w:rPr>
          <w:rFonts w:ascii="Calibri" w:eastAsia="Times New Roman" w:hAnsi="Calibri" w:cs="Calibri"/>
        </w:rPr>
        <w:t xml:space="preserve">, </w:t>
      </w:r>
      <w:hyperlink r:id="rId22" w:tgtFrame="_blank" w:history="1">
        <w:r w:rsidRPr="006C69B9">
          <w:rPr>
            <w:rFonts w:ascii="Calibri" w:eastAsia="Times New Roman" w:hAnsi="Calibri" w:cs="Calibri"/>
          </w:rPr>
          <w:t>Visoka škola „Logos centar"</w:t>
        </w:r>
      </w:hyperlink>
      <w:r w:rsidRPr="006C69B9">
        <w:rPr>
          <w:rFonts w:ascii="Calibri" w:eastAsia="Times New Roman" w:hAnsi="Calibri" w:cs="Calibri"/>
        </w:rPr>
        <w:t xml:space="preserve"> i Univerzitet modernih znanosti „CKM“ Mostar. Kretanje broja studenata uglavnom prati trend kretanja učenika u srednjem obrazovanju uz pozitivne ili negativne fluktuacije od najviše 5% koje čine studenti iz drugih županija ili država. Ukupan broj </w:t>
      </w:r>
      <w:r w:rsidRPr="006C69B9">
        <w:rPr>
          <w:rFonts w:ascii="Calibri" w:eastAsia="Calibri" w:hAnsi="Calibri" w:cs="Calibri"/>
        </w:rPr>
        <w:t>studenata u akademskoj 2018/2019. godini iznosio je 13.452 studenta. Broj uposlenih nastavnika i suradnika iznosi 1.844 od čega je 256 na Univerzitetu Džemal Bijedić, 1.373 na Sveučilištu i 215 na privatnim visokoškolskim ustanovama.</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55</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Visokoškolsko obrazovanje u akademskoj 2018/19.</w:t>
      </w:r>
    </w:p>
    <w:tbl>
      <w:tblPr>
        <w:tblStyle w:val="MediumGrid3-Accent51"/>
        <w:tblW w:w="9030" w:type="dxa"/>
        <w:jc w:val="center"/>
        <w:tblLayout w:type="fixed"/>
        <w:tblLook w:val="06E0"/>
      </w:tblPr>
      <w:tblGrid>
        <w:gridCol w:w="2941"/>
        <w:gridCol w:w="1495"/>
        <w:gridCol w:w="1710"/>
        <w:gridCol w:w="1442"/>
        <w:gridCol w:w="1442"/>
      </w:tblGrid>
      <w:tr w:rsidR="00F85905" w:rsidRPr="006C69B9" w:rsidTr="006C69B9">
        <w:trPr>
          <w:cnfStyle w:val="100000000000"/>
          <w:trHeight w:val="529"/>
          <w:jc w:val="center"/>
        </w:trPr>
        <w:tc>
          <w:tcPr>
            <w:cnfStyle w:val="001000000000"/>
            <w:tcW w:w="2941" w:type="dxa"/>
          </w:tcPr>
          <w:p w:rsidR="006C69B9" w:rsidRPr="006C69B9" w:rsidRDefault="006C69B9" w:rsidP="006C69B9">
            <w:pPr>
              <w:spacing w:line="276" w:lineRule="auto"/>
              <w:jc w:val="center"/>
              <w:rPr>
                <w:rFonts w:ascii="Calibri" w:eastAsia="Calibri" w:hAnsi="Calibri" w:cs="Calibri"/>
                <w:sz w:val="20"/>
                <w:szCs w:val="20"/>
                <w:lang w:val="bs-Latn-BA"/>
              </w:rPr>
            </w:pPr>
          </w:p>
        </w:tc>
        <w:tc>
          <w:tcPr>
            <w:tcW w:w="1495"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lang w:val="bs-Latn-BA"/>
              </w:rPr>
              <w:t>Ukupno</w:t>
            </w:r>
          </w:p>
        </w:tc>
        <w:tc>
          <w:tcPr>
            <w:tcW w:w="1710"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lang w:val="bs-Latn-BA"/>
              </w:rPr>
              <w:t>Redovni</w:t>
            </w:r>
          </w:p>
        </w:tc>
        <w:tc>
          <w:tcPr>
            <w:tcW w:w="1442"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lang w:val="bs-Latn-BA"/>
              </w:rPr>
              <w:t>Izvanredni</w:t>
            </w:r>
          </w:p>
        </w:tc>
        <w:tc>
          <w:tcPr>
            <w:tcW w:w="1442"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lang w:val="bs-Latn-BA"/>
              </w:rPr>
              <w:t>Učenje na daljinu</w:t>
            </w:r>
          </w:p>
        </w:tc>
      </w:tr>
      <w:tr w:rsidR="00F85905" w:rsidRPr="006C69B9" w:rsidTr="006C69B9">
        <w:trPr>
          <w:trHeight w:val="227"/>
          <w:jc w:val="center"/>
        </w:trPr>
        <w:tc>
          <w:tcPr>
            <w:cnfStyle w:val="001000000000"/>
            <w:tcW w:w="2941"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lang w:val="bs-Latn-BA"/>
              </w:rPr>
              <w:t>Univerzitet ''Džemal Bijedić''</w:t>
            </w:r>
          </w:p>
        </w:tc>
        <w:tc>
          <w:tcPr>
            <w:tcW w:w="1495"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3.030</w:t>
            </w:r>
          </w:p>
        </w:tc>
        <w:tc>
          <w:tcPr>
            <w:tcW w:w="171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2.097</w:t>
            </w:r>
          </w:p>
        </w:tc>
        <w:tc>
          <w:tcPr>
            <w:tcW w:w="1442"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256</w:t>
            </w:r>
          </w:p>
        </w:tc>
        <w:tc>
          <w:tcPr>
            <w:tcW w:w="1442"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lang w:val="bs-Latn-BA"/>
              </w:rPr>
              <w:t>677</w:t>
            </w:r>
          </w:p>
        </w:tc>
      </w:tr>
      <w:tr w:rsidR="00F85905" w:rsidRPr="006C69B9" w:rsidTr="006C69B9">
        <w:trPr>
          <w:trHeight w:val="223"/>
          <w:jc w:val="center"/>
        </w:trPr>
        <w:tc>
          <w:tcPr>
            <w:cnfStyle w:val="001000000000"/>
            <w:tcW w:w="2941"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lang w:val="bs-Latn-BA"/>
              </w:rPr>
              <w:t>Sveučilište u Mostaru</w:t>
            </w:r>
          </w:p>
        </w:tc>
        <w:tc>
          <w:tcPr>
            <w:tcW w:w="1495"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9.418</w:t>
            </w:r>
          </w:p>
        </w:tc>
        <w:tc>
          <w:tcPr>
            <w:tcW w:w="171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7.811</w:t>
            </w:r>
          </w:p>
        </w:tc>
        <w:tc>
          <w:tcPr>
            <w:tcW w:w="1442"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1.603</w:t>
            </w:r>
          </w:p>
        </w:tc>
        <w:tc>
          <w:tcPr>
            <w:tcW w:w="1442"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lang w:val="bs-Latn-BA"/>
              </w:rPr>
              <w:t>4</w:t>
            </w:r>
          </w:p>
        </w:tc>
      </w:tr>
      <w:tr w:rsidR="00F85905" w:rsidRPr="006C69B9" w:rsidTr="006C69B9">
        <w:trPr>
          <w:trHeight w:val="223"/>
          <w:jc w:val="center"/>
        </w:trPr>
        <w:tc>
          <w:tcPr>
            <w:cnfStyle w:val="001000000000"/>
            <w:tcW w:w="2941"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lang w:val="bs-Latn-BA"/>
              </w:rPr>
              <w:t xml:space="preserve">Privatne visokoškolske ustanove </w:t>
            </w:r>
          </w:p>
        </w:tc>
        <w:tc>
          <w:tcPr>
            <w:tcW w:w="1495"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978</w:t>
            </w:r>
          </w:p>
        </w:tc>
        <w:tc>
          <w:tcPr>
            <w:tcW w:w="1710"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287</w:t>
            </w:r>
          </w:p>
        </w:tc>
        <w:tc>
          <w:tcPr>
            <w:tcW w:w="1442"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lang w:val="bs-Latn-BA"/>
              </w:rPr>
              <w:t>687</w:t>
            </w:r>
          </w:p>
        </w:tc>
        <w:tc>
          <w:tcPr>
            <w:tcW w:w="1442"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lang w:val="bs-Latn-BA"/>
              </w:rPr>
              <w:t>4</w:t>
            </w:r>
          </w:p>
        </w:tc>
      </w:tr>
      <w:tr w:rsidR="00F85905" w:rsidRPr="006C69B9" w:rsidTr="006C69B9">
        <w:trPr>
          <w:trHeight w:val="223"/>
          <w:jc w:val="center"/>
        </w:trPr>
        <w:tc>
          <w:tcPr>
            <w:cnfStyle w:val="001000000000"/>
            <w:tcW w:w="2941"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lang w:val="bs-Latn-BA"/>
              </w:rPr>
              <w:t>Centar za cjeloživotno obrazovanje</w:t>
            </w:r>
          </w:p>
        </w:tc>
        <w:tc>
          <w:tcPr>
            <w:tcW w:w="1495"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lang w:val="bs-Latn-BA"/>
              </w:rPr>
              <w:t>26</w:t>
            </w:r>
          </w:p>
        </w:tc>
        <w:tc>
          <w:tcPr>
            <w:tcW w:w="1710"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lang w:val="bs-Latn-BA"/>
              </w:rPr>
              <w:t>-</w:t>
            </w:r>
          </w:p>
        </w:tc>
        <w:tc>
          <w:tcPr>
            <w:tcW w:w="1442"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lang w:val="bs-Latn-BA"/>
              </w:rPr>
              <w:t>-</w:t>
            </w:r>
          </w:p>
        </w:tc>
        <w:tc>
          <w:tcPr>
            <w:tcW w:w="1442"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lang w:val="bs-Latn-BA"/>
              </w:rPr>
              <w:t>-</w:t>
            </w:r>
          </w:p>
        </w:tc>
      </w:tr>
      <w:tr w:rsidR="00F85905" w:rsidRPr="006C69B9" w:rsidTr="006C69B9">
        <w:trPr>
          <w:cnfStyle w:val="010000000000"/>
          <w:trHeight w:val="227"/>
          <w:jc w:val="center"/>
        </w:trPr>
        <w:tc>
          <w:tcPr>
            <w:cnfStyle w:val="001000000000"/>
            <w:tcW w:w="2941" w:type="dxa"/>
          </w:tcPr>
          <w:p w:rsidR="006C69B9" w:rsidRPr="006C69B9" w:rsidRDefault="006C69B9" w:rsidP="006C69B9">
            <w:pPr>
              <w:spacing w:line="276" w:lineRule="auto"/>
              <w:rPr>
                <w:rFonts w:ascii="Calibri" w:eastAsia="Calibri" w:hAnsi="Calibri" w:cs="Calibri"/>
                <w:sz w:val="20"/>
                <w:szCs w:val="20"/>
                <w:lang w:val="bs-Latn-BA"/>
              </w:rPr>
            </w:pPr>
          </w:p>
        </w:tc>
        <w:tc>
          <w:tcPr>
            <w:tcW w:w="1495"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r w:rsidRPr="006C69B9">
              <w:rPr>
                <w:rFonts w:ascii="Calibri" w:eastAsia="Calibri" w:hAnsi="Calibri" w:cs="Times New Roman"/>
                <w:lang w:val="bs-Latn-BA"/>
              </w:rPr>
              <w:t>13.452</w:t>
            </w:r>
          </w:p>
        </w:tc>
        <w:tc>
          <w:tcPr>
            <w:tcW w:w="1710"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r w:rsidRPr="006C69B9">
              <w:rPr>
                <w:rFonts w:ascii="Calibri" w:eastAsia="Calibri" w:hAnsi="Calibri" w:cs="Times New Roman"/>
                <w:lang w:val="bs-Latn-BA"/>
              </w:rPr>
              <w:t>10.195</w:t>
            </w:r>
          </w:p>
        </w:tc>
        <w:tc>
          <w:tcPr>
            <w:tcW w:w="1442"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r w:rsidRPr="006C69B9">
              <w:rPr>
                <w:rFonts w:ascii="Calibri" w:eastAsia="Calibri" w:hAnsi="Calibri" w:cs="Times New Roman"/>
                <w:lang w:val="bs-Latn-BA"/>
              </w:rPr>
              <w:t>2.546</w:t>
            </w:r>
          </w:p>
        </w:tc>
        <w:tc>
          <w:tcPr>
            <w:tcW w:w="1442"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r w:rsidRPr="006C69B9">
              <w:rPr>
                <w:rFonts w:ascii="Calibri" w:eastAsia="Calibri" w:hAnsi="Calibri" w:cs="Times New Roman"/>
                <w:lang w:val="bs-Latn-BA"/>
              </w:rPr>
              <w:t>685</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Federalni zavod za statistiku</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41" w:name="_Toc53350355"/>
      <w:bookmarkStart w:id="42" w:name="_Toc57573223"/>
      <w:r w:rsidRPr="006C69B9">
        <w:rPr>
          <w:rFonts w:ascii="Calibri" w:eastAsia="Calibri" w:hAnsi="Calibri" w:cs="Times New Roman"/>
          <w:b/>
          <w:bCs/>
          <w:color w:val="4BACC6"/>
          <w:szCs w:val="26"/>
          <w:lang w:val="bs-Latn-BA" w:eastAsia="hr-HR"/>
        </w:rPr>
        <w:t>Obrazovanje odraslih</w:t>
      </w:r>
      <w:bookmarkEnd w:id="41"/>
      <w:bookmarkEnd w:id="42"/>
    </w:p>
    <w:p w:rsidR="006C69B9" w:rsidRPr="006C69B9" w:rsidRDefault="006C69B9" w:rsidP="006C69B9">
      <w:pPr>
        <w:spacing w:before="120" w:after="0" w:line="276" w:lineRule="auto"/>
        <w:jc w:val="both"/>
        <w:rPr>
          <w:rFonts w:ascii="Calibri" w:eastAsia="Calibri" w:hAnsi="Calibri" w:cs="Calibri"/>
          <w:color w:val="050505"/>
          <w:shd w:val="clear" w:color="auto" w:fill="FFFFFF"/>
          <w:lang w:val="sr-Latn-BA"/>
        </w:rPr>
      </w:pPr>
      <w:r w:rsidRPr="006C69B9">
        <w:rPr>
          <w:rFonts w:ascii="Calibri" w:eastAsia="Calibri" w:hAnsi="Calibri" w:cs="Calibri"/>
          <w:color w:val="050505"/>
          <w:shd w:val="clear" w:color="auto" w:fill="FFFFFF"/>
          <w:lang w:val="sr-Latn-BA"/>
        </w:rPr>
        <w:t xml:space="preserve">Na području Hercegovačko-neretvanske županije djeluje Centar za obuku i prekvalifikaciju odraslih osoba u Čapljini. Centar obavlja programe obuke u okviru cjeloživotnog obrazovanja za odrasle te na taj način doprinosi smanjenju nezaposlenosti, razvoju ljudskih resursa i poboljšanju tržišta rada na području grada Čapljine i regije Hercegovina. U 2018. godini izdano je 26 diploma za program prekvalifikacije. </w:t>
      </w:r>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43" w:name="Usklađenostobrazovanjaitržišta"/>
      <w:bookmarkStart w:id="44" w:name="_Toc468043298"/>
      <w:bookmarkStart w:id="45" w:name="_Toc469295963"/>
      <w:bookmarkStart w:id="46" w:name="_Toc53350356"/>
      <w:bookmarkStart w:id="47" w:name="_Toc57573224"/>
      <w:r w:rsidRPr="006C69B9">
        <w:rPr>
          <w:rFonts w:ascii="Calibri" w:eastAsia="Calibri" w:hAnsi="Calibri" w:cs="Times New Roman"/>
          <w:b/>
          <w:bCs/>
          <w:color w:val="4BACC6"/>
          <w:szCs w:val="26"/>
          <w:lang w:val="bs-Latn-BA" w:eastAsia="hr-HR"/>
        </w:rPr>
        <w:t>Usklađenost obrazovanja i tržišta rada</w:t>
      </w:r>
      <w:bookmarkEnd w:id="43"/>
      <w:bookmarkEnd w:id="44"/>
      <w:bookmarkEnd w:id="45"/>
      <w:bookmarkEnd w:id="46"/>
      <w:bookmarkEnd w:id="47"/>
    </w:p>
    <w:p w:rsidR="006C69B9" w:rsidRPr="006C69B9" w:rsidRDefault="006C69B9" w:rsidP="006C69B9">
      <w:pPr>
        <w:spacing w:before="120" w:after="0" w:line="276" w:lineRule="auto"/>
        <w:jc w:val="both"/>
        <w:rPr>
          <w:rFonts w:ascii="Calibri" w:eastAsia="Calibri" w:hAnsi="Calibri" w:cs="Calibri"/>
        </w:rPr>
      </w:pPr>
      <w:r w:rsidRPr="006C69B9">
        <w:rPr>
          <w:rFonts w:ascii="Calibri" w:eastAsia="Calibri" w:hAnsi="Calibri" w:cs="Calibri"/>
        </w:rPr>
        <w:t xml:space="preserve">U HNŽ pri kreiranju Plana upisa u srednje škole obrazovni sektor se konsultira sa predstavnicima lokalnog tržišta rada, ali nisu svi uključeni u te konsultacije. Pri izradi Plana upisa, koriste se podaci Službe za zapošljavanje HNŽ (Službe) i na taj način se vodi računa o evidenciji Službe o broju nezaposlenih. Što se tiče mjera koje se poduzimaju radi uvezivanja obrazovanja i potreba lokalnog tržišta rada nema planskih zacrtanih mjera. Aktivnosti koje se poduzimaju radi boljeg usklađivanja srednjeg stručnog obrazovanja s tržištem rada, uglavnom se svode na povremene susrete sa predstavnicima lokalnog tržišta rada. Međusektorska suradnja, odnosno socijalni dijalog, ključ je rješenja kada je ova problematika u pitanju. </w:t>
      </w:r>
    </w:p>
    <w:p w:rsidR="006C69B9" w:rsidRPr="006C69B9" w:rsidRDefault="006C69B9" w:rsidP="006C69B9">
      <w:pPr>
        <w:spacing w:before="120" w:after="0" w:line="276" w:lineRule="auto"/>
        <w:jc w:val="both"/>
        <w:rPr>
          <w:rFonts w:ascii="Calibri" w:eastAsia="Calibri" w:hAnsi="Calibri" w:cs="Times New Roman"/>
          <w:lang w:val="sr-Latn-BA"/>
        </w:rPr>
      </w:pPr>
      <w:r w:rsidRPr="006C69B9">
        <w:rPr>
          <w:rFonts w:ascii="Calibri" w:eastAsia="Calibri" w:hAnsi="Calibri" w:cs="Calibri"/>
        </w:rPr>
        <w:t xml:space="preserve">U tu svrhu </w:t>
      </w:r>
      <w:r w:rsidRPr="006C69B9">
        <w:rPr>
          <w:rFonts w:ascii="Calibri" w:eastAsia="Calibri" w:hAnsi="Calibri" w:cs="Times New Roman"/>
          <w:lang w:val="sr-Latn-BA"/>
        </w:rPr>
        <w:t xml:space="preserve">u prosincu 2019. i siječnju 2020. godine </w:t>
      </w:r>
      <w:r w:rsidRPr="006C69B9">
        <w:rPr>
          <w:rFonts w:ascii="Calibri" w:eastAsia="Calibri" w:hAnsi="Calibri" w:cs="Calibri"/>
        </w:rPr>
        <w:t xml:space="preserve">provedeno je anketiranje </w:t>
      </w:r>
      <w:r w:rsidRPr="006C69B9">
        <w:rPr>
          <w:rFonts w:ascii="Calibri" w:eastAsia="Calibri" w:hAnsi="Calibri" w:cs="Times New Roman"/>
          <w:lang w:val="sr-Latn-BA"/>
        </w:rPr>
        <w:t xml:space="preserve">„Ispitivanje tržišta rada” u svrhu analize potreba tržišta rada u FBiH u 2019. godini, u suradnji s Federalnom zavodom za zapošljavanje. Cilj istraživanja je da se izravno od poslodavaca prikupe informacije o procjeni poslovanja, promjenama u zaposlenosti tijekom 2019. godine te iskazanim potrebama za </w:t>
      </w:r>
      <w:r w:rsidRPr="006C69B9">
        <w:rPr>
          <w:rFonts w:ascii="Calibri" w:eastAsia="Calibri" w:hAnsi="Calibri" w:cs="Times New Roman"/>
          <w:lang w:val="sr-Latn-BA"/>
        </w:rPr>
        <w:lastRenderedPageBreak/>
        <w:t xml:space="preserve">zapošljavanjem novih ili otpuštanjem postojećih radnika u 2020. godini, kao i njihovoj strukturi po kvalifikacijama, stručnoj spremi i vještinama, ali i da se prikupe drugi relevantni podaci potrebni za sagledavanje kretanja na tržištu rada. Pored toga, nastoji se steći uvid o načinu traženja novih radnika i rješavanja viška radnika, mogućnostima organiziranja obuke nezaposlenih osoba i učeničke (studentske) prakse u okviru poslovnih subjekata kao i kvaliteti usluga javnih službi za zapošljavanje u Federaciji BiH.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Anketiranje je provedeno kratko prije proglašenja pandemije koronavirusa. U cilju sprečavanja širenja virusa i ozbiljnih zdravstvenih posljedica po stanovništvo, Vlada Federacije BiH je donijela Odluku o proglašenju stanja nesreće uzrokovano pojavom koronavirusa (COVID-19) na području Federacije BiH (V broj: 408/2020 od 18. 3. 2020. godine), a Federalni štab Civilne zaštite izdao je niz naredbi među kojima je i mjera kojom je, između ostalog, ograničeno kretanje ljudi, a određenim djelatnostima naložena obustava rada. Ukupni događaji dovela su do velikih posljedica i na tržištu rada. U prvoj polovici ožujka 2020. godine, prema informacijama Svjetskog vijeća za putovanja i turizam, širom svijeta zatvoreno je oko milijun radnih mjesta samo u ovoj oblasti. U brojnim državama povećava se broj prijavljenih osoba na evidencije službi za zapošljavanje te se istovremeno usvajaju interventne mjere za očuvanje radnih mjesta. Pojava virusa i proglašenje pandemije u FBiH je na početku osobito negativno utjecalo na sektor (djelatnosti ugostiteljstva i hotelijerstva, a vrlo brzo i na ostale djelatnosti, a naredno će razdoblje obilježiti snažna borba u očuvanju radnih mjesta korištenjem svih raspoloživih resursa i mjera. Trajanje pandemije je još uvijek neizvjesno te se i konačne posljedice u trenutku izrade te informacije teško mogu procijeniti. S tim u vezi važno je istaći da su rezultati prezentirani u toj informaciji prikupljani prije izvanrednog stanja pa se trebaju i promatrati u tom kontekstu.</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Za ispitivanja tržišta rada 2019./2020. god. unapređena je metodologija provođenja te aktivnosti pa je Federalni zavod za zapošljavanje na temelju master uzorka od oko 10.000 poslodavaca dobivenog iz Porezne uprave Federacije BiH metodom stratificiranoga slučajnog uzorka izdvojio uzorak od 1.290 poslodavaca registriranih u Federaciji BiH koji imaju pet (5) i više zaposlenih, sortiranih u male, srednje i velike poslodavce po djelatnostima i koji redovno izmiruju uplatu obveznih poreza i doprinosa. Ta veličina uzorka, za stupanj pouzdanosti od 95,00% daje rezultate u okviru margine greške od 2,54%. U skladu s praksom međunarodnih organizacija (ETF, CEDEFOP) uzorkom nisu obuhvaćeni poslodavci iz sljedećih djelatnosti: poljoprivreda, šumarstvo i ribolov; javna uprava i obrana; obrazovanje; zdravstvena i socijalna zaštita.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Uzorak za našu Županiju bio je 143 tvrtki. Voditelji općinskih podružnica su na vrijeme te u skladu s planom proveli anketiranje poslodavaca, potreba i mogućnosti planiranja aktivnosti u skladu s nalazima.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Na ispunjavanje upitnika pristala su 134 poslodavca (93,71%), a 61,90% je iskazalo potrebu za novim radnicima.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Na slici u nastavku su prikazane pozicije osoba u tvrtkama koje su odgovarale na pitanja:</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6 . Funkcije anketiranih osoba</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74"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Najveći broj anketiranih subjekata čine društva s ograničenom odgovornošću (84,70%).</w:t>
      </w: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7 . Anketirani subjekti</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75"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Najzastupljenije su male tvrtke, koje zapošljavaju 10 do 50 radnika, s udjelom od 60,45%.</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8 . Anketirani subjekti prema veličini</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76"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Analizirajući anketirane poslodavce prema trajanju njihovog postojanja, najviše je anketirano tvrtki koje djeluju preko 20 godina i to 49,25%. Na razini Federacije taj udio iznosi 38,53%. </w:t>
      </w: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9 . Anketirani subjekti prema dužini postojanja</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77"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Anketirana poduzeća ukupno zapošljavaju 5.077 radnika, a u sljedećem grafikonu su isti prikazani po vrsti ugovora o radu: </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10 . Broj radnika prema vrsti ugovora</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78"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Podatak, da je u anketiranim poduzećima 69,50% radnika zaposleno po ugovoru o radu na neodređeno vrijeme, u koliziji je s podacima o vrstama zapošljavanja osoba iz evidencije nezaposlenih osoba. Poslodavcima nije ponuđeno pitanje o preferencijama izbora ugovora o radu kod novih zapošljavanja pa ne može i točno objasniti taj nesklada. Jedno od mogućih i vjerojatnih objašnjenja, je to da se pri novom zapošljavanju sklapaju ugovori o radu na određeno vrijeme u svrhu probnoga rada, pa se s radnicima koji zadovolje sklapaju novi ugovori na neodređeno vrijeme, a bez prekidanja radnoga odnosa.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Anketirani poslodavci su većinom stabilna poduzeća, u terminima financijskih efekata i rasta proizvodnje i prodaje usluga: </w:t>
      </w: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11 . Procjena obujma poslovanja i financijskih efekata u 2019.</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7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lastRenderedPageBreak/>
        <w:t>Gledajući fluktuaciju broja radnika, uočava se pozitivan trend. U uzorku je ukupno novozaposlenih (u razdoblju od godine dana prije anketiranja) 1.043, otpuštenih 544, umirovljenih 65 i ostalih 54. Od 134 anketirana poslodavca, njih 125 je odgovorilo na pitanje o povećanju plaća u 2019. i 2020. godini. Njih 46,40% izjavilo je da su povećavali plaće u 2019. godini i da isto planiraju uraditi u 2020. godini.</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Svega 30 poslodavaca je izjavilo da je koristilo neke od mjera poticanja zapošljavanja u 2019. godini. Oni koji iste nisu koristili su naveli sljedeće razloge za to:</w:t>
      </w: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12. Razlozi nekorištenja mjera aktivne politike</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8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color w:val="C0504D"/>
          <w:lang w:val="bs-Latn-BA"/>
        </w:rPr>
      </w:pPr>
      <w:r w:rsidRPr="006C69B9">
        <w:rPr>
          <w:rFonts w:ascii="Calibri" w:eastAsia="Calibri" w:hAnsi="Calibri" w:cs="Times New Roman"/>
          <w:lang w:val="bs-Latn-BA"/>
        </w:rPr>
        <w:t>Potrebno je naglasiti kako je 61,90% poslodavaca iskazalo potrebe za zapošljavanjem u sljedećem razdoblju. U skladu s podacima, da su u uzorku najviše zastupljeni poduzeća koja se bave proizvodnjom, najveća potreba je iskazana za kvalificiranim i visokokvalificiranim radnicima. Ukupna je potreba za 537 radnika, od čega se čak 54% odnosi na kvalificirane radnike:</w:t>
      </w: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13 . Potrebe za radnom snagom prema obrazovanju</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autoSpaceDE w:val="0"/>
        <w:autoSpaceDN w:val="0"/>
        <w:adjustRightInd w:val="0"/>
        <w:jc w:val="both"/>
        <w:rPr>
          <w:rFonts w:ascii="Calibri" w:eastAsia="Calibri" w:hAnsi="Calibri" w:cs="Times New Roman"/>
          <w:lang w:val="bs-Latn-BA"/>
        </w:rPr>
      </w:pPr>
    </w:p>
    <w:p w:rsidR="006C69B9" w:rsidRPr="006C69B9" w:rsidRDefault="006C69B9" w:rsidP="006C69B9">
      <w:pPr>
        <w:autoSpaceDE w:val="0"/>
        <w:autoSpaceDN w:val="0"/>
        <w:adjustRightInd w:val="0"/>
        <w:jc w:val="both"/>
        <w:rPr>
          <w:rFonts w:ascii="Calibri" w:eastAsia="Calibri" w:hAnsi="Calibri" w:cs="Times New Roman"/>
          <w:lang w:val="bs-Latn-BA"/>
        </w:rPr>
      </w:pPr>
      <w:r w:rsidRPr="006C69B9">
        <w:rPr>
          <w:rFonts w:ascii="Calibri" w:eastAsia="Calibri" w:hAnsi="Calibri" w:cs="Times New Roman"/>
          <w:lang w:val="bs-Latn-BA"/>
        </w:rPr>
        <w:t>Vezano za spremnost poslodavaca da zaposle nezaposlenu osobu iz neke od teže zapošljivih ili specifičnih kategorija, uz mogućnost višestrukoga izbora odgovora, najveći broj je iskazao spremnost za zapošljavanje mladih bez radnoga iskustva (25,70%), zatim žena (20,30%), starijih od 40 godina (16,30%), razvojačenih branitelja (10,90%), osoba s invaliditetom (10,10%).</w:t>
      </w:r>
    </w:p>
    <w:p w:rsidR="006C69B9" w:rsidRPr="006C69B9" w:rsidRDefault="006C69B9" w:rsidP="006C69B9">
      <w:pPr>
        <w:autoSpaceDE w:val="0"/>
        <w:autoSpaceDN w:val="0"/>
        <w:adjustRightInd w:val="0"/>
        <w:jc w:val="both"/>
        <w:rPr>
          <w:rFonts w:ascii="Calibri" w:eastAsia="Calibri" w:hAnsi="Calibri" w:cs="Times New Roman"/>
          <w:lang w:val="bs-Latn-BA"/>
        </w:rPr>
      </w:pPr>
      <w:r w:rsidRPr="006C69B9">
        <w:rPr>
          <w:rFonts w:ascii="Calibri" w:eastAsia="Calibri" w:hAnsi="Calibri" w:cs="Times New Roman"/>
          <w:lang w:val="bs-Latn-BA"/>
        </w:rPr>
        <w:t xml:space="preserve">Pored velikog broja evidentiranih nezaposlenih osoba različitih kvalifikacija, poslodavci još uvijek ističu određene probleme prilikom pronalaska novih radnika. Na sljedećoj su slici prikazani odgovori (prosječna ocjena na skali od jedan do pet), a isti se odnose na razloge koji otežavaju poslodavcima pronalazak adekvatnih radnika. </w:t>
      </w: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14. Razlozi deficitarnosti radne snage</w:t>
      </w:r>
    </w:p>
    <w:p w:rsidR="006C69B9" w:rsidRPr="006C69B9" w:rsidRDefault="006C69B9" w:rsidP="006C69B9">
      <w:pPr>
        <w:autoSpaceDE w:val="0"/>
        <w:autoSpaceDN w:val="0"/>
        <w:adjustRightInd w:val="0"/>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Vidljivo je da su poslodavci najviše isticali nedostatak potrebnih kvalifikacija i odgovarajućega radnoga iskustva.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Pored potrebe zapošljavanja novih radnika, 84 anketirana poslodavaca su iskazali potrebe i za dodatnim usavršavanjem postojećih zaposlenika. Prednjači usvajanje novih stručnih znanja i vještina u verificiranoj ustanovi (47,60%), a na listi potreba slijede obuke za konkretne poslove (36,9,%) i dokvalifikacija i prekvalifikacija (13,10%).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 xml:space="preserve">Svega 30 poslodavac je izjavilo da ima mogućnosti (mentor, oprema, prostor i materijali) i da je spremno primiti učenike i studente na praktičnu nastavu, najvećim dijelom za sljedeća zanimanja: </w:t>
      </w:r>
      <w:r w:rsidRPr="006C69B9">
        <w:rPr>
          <w:rFonts w:ascii="Calibri" w:eastAsia="Calibri" w:hAnsi="Calibri" w:cs="Times New Roman"/>
          <w:i/>
          <w:iCs/>
          <w:lang w:val="bs-Latn-BA"/>
        </w:rPr>
        <w:t>konobar, kuhar, prodavač, bravar, strojarski tehničar, keramičar</w:t>
      </w:r>
      <w:r w:rsidRPr="006C69B9">
        <w:rPr>
          <w:rFonts w:ascii="Calibri" w:eastAsia="Calibri" w:hAnsi="Calibri" w:cs="Times New Roman"/>
          <w:lang w:val="bs-Latn-BA"/>
        </w:rPr>
        <w:t xml:space="preserve"> i </w:t>
      </w:r>
      <w:r w:rsidRPr="006C69B9">
        <w:rPr>
          <w:rFonts w:ascii="Calibri" w:eastAsia="Calibri" w:hAnsi="Calibri" w:cs="Times New Roman"/>
          <w:i/>
          <w:iCs/>
          <w:lang w:val="bs-Latn-BA"/>
        </w:rPr>
        <w:t>mehaničar</w:t>
      </w:r>
      <w:r w:rsidRPr="006C69B9">
        <w:rPr>
          <w:rFonts w:ascii="Calibri" w:eastAsia="Calibri" w:hAnsi="Calibri" w:cs="Times New Roman"/>
          <w:lang w:val="bs-Latn-BA"/>
        </w:rPr>
        <w:t>. U tu svrhu, 33,00% je spremno ponuditi naknadu do 100 KM za polaznike prakse, a 20,00% naknadu veću od 300 KM. Također, u kontekstu obuke odraslih 22 poslodavaca su izjavila da imaju mogućnosti i da su spremni organizirati obuke, stručno osposobljavanje i usavršavanje nezaposlenih osoba.</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Uobičajen je način traženja novih radnika, osobne kontakte (47,70% poslodavaca) zatim slijedi posredovanje Službe za zapošljavanje sa 27,70 %. Na trećem mjestu je oglašavanje u medijima i putem mrežne stranice tvrtke s po 10,00%, a najmanje zastupljeni načini su putem privatnih agencija za zapošljavanje i ustanova za obrazovanje, s udjelom od 2,00 %.</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Anketirani subjekti su u 120 slučajeva koristili usluge Službe za zapošljavanje, a po vrsti ostvarene suradnje prednjači oglašavanje slobodnih radnih mjesta:</w:t>
      </w:r>
    </w:p>
    <w:p w:rsidR="006C69B9" w:rsidRPr="006C69B9" w:rsidRDefault="006C69B9" w:rsidP="006C69B9">
      <w:pPr>
        <w:jc w:val="both"/>
        <w:rPr>
          <w:rFonts w:ascii="Calibri" w:eastAsia="Calibri" w:hAnsi="Calibri" w:cs="Times New Roman"/>
          <w:lang w:val="bs-Latn-BA"/>
        </w:rPr>
      </w:pP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15 . Način suradnje sa Službom za zapošljavanje</w:t>
      </w:r>
    </w:p>
    <w:p w:rsidR="006C69B9" w:rsidRPr="006C69B9" w:rsidRDefault="006C69B9" w:rsidP="006C69B9">
      <w:pPr>
        <w:jc w:val="both"/>
        <w:rPr>
          <w:rFonts w:ascii="Calibri" w:eastAsia="Calibri" w:hAnsi="Calibri" w:cs="Times New Roman"/>
          <w:color w:val="C0504D"/>
          <w:lang w:val="bs-Latn-BA"/>
        </w:rPr>
      </w:pPr>
    </w:p>
    <w:p w:rsidR="006C69B9" w:rsidRPr="006C69B9" w:rsidRDefault="006C69B9" w:rsidP="006C69B9">
      <w:pPr>
        <w:jc w:val="center"/>
        <w:rPr>
          <w:rFonts w:ascii="Calibri" w:eastAsia="Calibri" w:hAnsi="Calibri" w:cs="Times New Roman"/>
          <w:color w:val="C0504D"/>
          <w:lang w:val="bs-Latn-BA"/>
        </w:rPr>
      </w:pPr>
      <w:r w:rsidRPr="006C69B9">
        <w:rPr>
          <w:rFonts w:ascii="Calibri" w:eastAsia="Calibri" w:hAnsi="Calibri" w:cs="Times New Roman"/>
          <w:noProof/>
          <w:lang w:eastAsia="hr-HR"/>
        </w:rPr>
        <w:drawing>
          <wp:inline distT="0" distB="0" distL="0" distR="0">
            <wp:extent cx="4572000" cy="2743200"/>
            <wp:effectExtent l="0" t="0" r="0" b="0"/>
            <wp:docPr id="81"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jc w:val="both"/>
        <w:rPr>
          <w:rFonts w:ascii="Calibri" w:eastAsia="Calibri" w:hAnsi="Calibri" w:cs="Times New Roman"/>
          <w:lang w:val="bs-Latn-BA"/>
        </w:rPr>
      </w:pPr>
      <w:r w:rsidRPr="006C69B9">
        <w:rPr>
          <w:rFonts w:ascii="Calibri" w:eastAsia="Calibri" w:hAnsi="Calibri" w:cs="Times New Roman"/>
          <w:lang w:val="bs-Latn-BA"/>
        </w:rPr>
        <w:t>U okviru predočavanja ostvarene suradnje sa Službom za zapošljavanje i zadovoljstva uslugama koje pružaj Služba, na skali od jedan do pet u sljedećoj tabeli je dat prikaz prosječnih ocjena za svaku od usluga:</w:t>
      </w:r>
    </w:p>
    <w:p w:rsidR="006C69B9" w:rsidRPr="006C69B9" w:rsidRDefault="006C69B9" w:rsidP="006C69B9">
      <w:pPr>
        <w:jc w:val="center"/>
        <w:rPr>
          <w:rFonts w:ascii="Calibri" w:eastAsia="Calibri" w:hAnsi="Calibri" w:cs="Times New Roman"/>
          <w:color w:val="215868"/>
          <w:sz w:val="20"/>
          <w:szCs w:val="20"/>
          <w:lang w:val="bs-Latn-BA"/>
        </w:rPr>
      </w:pPr>
      <w:r w:rsidRPr="006C69B9">
        <w:rPr>
          <w:rFonts w:ascii="Calibri" w:eastAsia="Calibri" w:hAnsi="Calibri" w:cs="Times New Roman"/>
          <w:color w:val="215868"/>
          <w:sz w:val="20"/>
          <w:szCs w:val="20"/>
          <w:lang w:val="bs-Latn-BA"/>
        </w:rPr>
        <w:t>Grafikon 16. Ocjena zadovoljstva uslugama</w:t>
      </w:r>
    </w:p>
    <w:p w:rsidR="006C69B9" w:rsidRPr="006C69B9" w:rsidRDefault="006C69B9" w:rsidP="006C69B9">
      <w:pPr>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572000" cy="2743200"/>
            <wp:effectExtent l="0" t="0" r="0" b="0"/>
            <wp:docPr id="82"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69B9" w:rsidRPr="006C69B9" w:rsidRDefault="006C69B9" w:rsidP="006C69B9">
      <w:pPr>
        <w:jc w:val="center"/>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Zavod za zapošljavanje HNŽ</w:t>
      </w:r>
    </w:p>
    <w:p w:rsidR="006C69B9" w:rsidRPr="006C69B9" w:rsidRDefault="006C69B9" w:rsidP="006C69B9">
      <w:pPr>
        <w:rPr>
          <w:rFonts w:ascii="Calibri" w:eastAsia="Calibri" w:hAnsi="Calibri" w:cs="Times New Roman"/>
          <w:lang w:eastAsia="hr-HR"/>
        </w:rPr>
      </w:pP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48" w:name="_Toc468043299"/>
      <w:bookmarkStart w:id="49" w:name="_Toc469295964"/>
      <w:bookmarkStart w:id="50" w:name="_Toc53350357"/>
      <w:bookmarkStart w:id="51" w:name="_Toc57573225"/>
      <w:bookmarkStart w:id="52" w:name="Kulturaisport"/>
      <w:r w:rsidRPr="006C69B9">
        <w:rPr>
          <w:rFonts w:ascii="Calibri" w:eastAsia="Calibri" w:hAnsi="Calibri" w:cs="Times New Roman"/>
          <w:b/>
          <w:bCs/>
          <w:iCs/>
          <w:color w:val="31849B"/>
          <w:sz w:val="24"/>
          <w:szCs w:val="28"/>
          <w:lang w:eastAsia="hr-HR"/>
        </w:rPr>
        <w:t xml:space="preserve">Kultura i </w:t>
      </w:r>
      <w:bookmarkEnd w:id="48"/>
      <w:bookmarkEnd w:id="49"/>
      <w:r w:rsidRPr="006C69B9">
        <w:rPr>
          <w:rFonts w:ascii="Calibri" w:eastAsia="Calibri" w:hAnsi="Calibri" w:cs="Times New Roman"/>
          <w:b/>
          <w:bCs/>
          <w:iCs/>
          <w:color w:val="31849B"/>
          <w:sz w:val="24"/>
          <w:szCs w:val="28"/>
          <w:lang w:eastAsia="hr-HR"/>
        </w:rPr>
        <w:t>umjetnost</w:t>
      </w:r>
      <w:bookmarkEnd w:id="50"/>
      <w:bookmarkEnd w:id="51"/>
    </w:p>
    <w:p w:rsidR="006C69B9" w:rsidRPr="006C69B9" w:rsidRDefault="006C69B9" w:rsidP="006C69B9">
      <w:pPr>
        <w:rPr>
          <w:rFonts w:ascii="Calibri" w:eastAsia="Calibri" w:hAnsi="Calibri" w:cs="Times New Roman"/>
          <w:lang w:eastAsia="hr-HR"/>
        </w:rPr>
      </w:pPr>
    </w:p>
    <w:p w:rsidR="006C69B9" w:rsidRPr="006C69B9" w:rsidRDefault="006C69B9" w:rsidP="006C69B9">
      <w:pPr>
        <w:spacing w:line="276" w:lineRule="auto"/>
        <w:jc w:val="both"/>
        <w:rPr>
          <w:rFonts w:ascii="Calibri" w:eastAsia="Calibri" w:hAnsi="Calibri" w:cs="Times New Roman"/>
          <w:lang w:val="bs-Latn-BA"/>
        </w:rPr>
      </w:pPr>
      <w:r w:rsidRPr="006C69B9">
        <w:rPr>
          <w:rFonts w:ascii="Calibri" w:eastAsia="Calibri" w:hAnsi="Calibri" w:cs="Times New Roman"/>
          <w:lang w:eastAsia="hr-HR"/>
        </w:rPr>
        <w:t xml:space="preserve">Sektor kulture u Hercegovačko-neretvanskoj županiji nalazi se u okviru Ministrstva obrazovanja, kulture i sporta. U županiji postoji županijski Zavod za zaštitu kulturno-povijesne baštine. </w:t>
      </w:r>
      <w:r w:rsidRPr="006C69B9">
        <w:rPr>
          <w:rFonts w:ascii="Calibri" w:eastAsia="Calibri" w:hAnsi="Calibri" w:cs="Times New Roman"/>
          <w:lang w:val="bs-Latn-BA"/>
        </w:rPr>
        <w:t xml:space="preserve">Zavod </w:t>
      </w:r>
      <w:r w:rsidRPr="006C69B9">
        <w:rPr>
          <w:rFonts w:ascii="Calibri" w:eastAsia="Calibri" w:hAnsi="Calibri" w:cs="Times New Roman"/>
          <w:lang w:val="bs-Latn-BA"/>
        </w:rPr>
        <w:lastRenderedPageBreak/>
        <w:t xml:space="preserve">zasniva i sprovodi svoju aktivnost preko upravnog odjeljenja i stručnih referata. Postoje slijedeći referati: referat za arhitektonsko-konzervatorske poslove, referat za likovno-konzervatorske poslove, referat za zaštitu spomenika NOB-e i etnografskih spomenika i referat za arheologiju. U Zavodu je zaposleno deset službenika. </w:t>
      </w:r>
    </w:p>
    <w:p w:rsidR="006C69B9" w:rsidRPr="006C69B9" w:rsidRDefault="006C69B9" w:rsidP="006C69B9">
      <w:pPr>
        <w:spacing w:line="276" w:lineRule="auto"/>
        <w:contextualSpacing/>
        <w:jc w:val="both"/>
        <w:rPr>
          <w:rFonts w:ascii="Calibri" w:eastAsia="Calibri" w:hAnsi="Calibri" w:cs="Calibri"/>
          <w:bCs/>
          <w:shd w:val="clear" w:color="auto" w:fill="F6F6F6"/>
          <w:lang w:val="bs-Latn-BA"/>
        </w:rPr>
      </w:pPr>
      <w:r w:rsidRPr="006C69B9">
        <w:rPr>
          <w:rFonts w:ascii="Calibri" w:eastAsia="Calibri" w:hAnsi="Calibri" w:cs="Times New Roman"/>
          <w:lang w:val="bs-Latn-BA"/>
        </w:rPr>
        <w:t xml:space="preserve">Od ostalih objekata kulture u Županiji najviše je u gradu Mostaru, 12 ustanova kulture: </w:t>
      </w:r>
      <w:hyperlink r:id="rId34" w:history="1">
        <w:r w:rsidRPr="006C69B9">
          <w:rPr>
            <w:rFonts w:ascii="Calibri" w:eastAsia="Calibri" w:hAnsi="Calibri" w:cs="Calibri"/>
            <w:lang w:val="bs-Latn-BA"/>
          </w:rPr>
          <w:t>Narodno pozorište Mostar</w:t>
        </w:r>
      </w:hyperlink>
      <w:r w:rsidRPr="006C69B9">
        <w:rPr>
          <w:rFonts w:ascii="Calibri" w:eastAsia="Calibri" w:hAnsi="Calibri" w:cs="Calibri"/>
          <w:lang w:val="bs-Latn-BA"/>
        </w:rPr>
        <w:t xml:space="preserve">, </w:t>
      </w:r>
      <w:hyperlink r:id="rId35" w:history="1">
        <w:r w:rsidRPr="006C69B9">
          <w:rPr>
            <w:rFonts w:ascii="Calibri" w:eastAsia="Calibri" w:hAnsi="Calibri" w:cs="Calibri"/>
            <w:lang w:val="bs-Latn-BA"/>
          </w:rPr>
          <w:t>Hrvatsko narodno kazalište u Mostaru</w:t>
        </w:r>
      </w:hyperlink>
      <w:r w:rsidRPr="006C69B9">
        <w:rPr>
          <w:rFonts w:ascii="Calibri" w:eastAsia="Calibri" w:hAnsi="Calibri" w:cs="Calibri"/>
          <w:bCs/>
          <w:lang w:val="bs-Latn-BA"/>
        </w:rPr>
        <w:t xml:space="preserve">, </w:t>
      </w:r>
      <w:hyperlink r:id="rId36" w:history="1">
        <w:r w:rsidRPr="006C69B9">
          <w:rPr>
            <w:rFonts w:ascii="Calibri" w:eastAsia="Calibri" w:hAnsi="Calibri" w:cs="Calibri"/>
            <w:lang w:val="bs-Latn-BA"/>
          </w:rPr>
          <w:t>Pozorište lutaka Mostar</w:t>
        </w:r>
      </w:hyperlink>
      <w:r w:rsidRPr="006C69B9">
        <w:rPr>
          <w:rFonts w:ascii="Calibri" w:eastAsia="Calibri" w:hAnsi="Calibri" w:cs="Calibri"/>
          <w:bCs/>
          <w:lang w:val="bs-Latn-BA"/>
        </w:rPr>
        <w:t xml:space="preserve">, </w:t>
      </w:r>
      <w:hyperlink r:id="rId37" w:history="1">
        <w:r w:rsidRPr="006C69B9">
          <w:rPr>
            <w:rFonts w:ascii="Calibri" w:eastAsia="Calibri" w:hAnsi="Calibri" w:cs="Calibri"/>
            <w:lang w:val="bs-Latn-BA"/>
          </w:rPr>
          <w:t>Lutkarsko kazalište Mostar</w:t>
        </w:r>
      </w:hyperlink>
      <w:r w:rsidRPr="006C69B9">
        <w:rPr>
          <w:rFonts w:ascii="Calibri" w:eastAsia="Calibri" w:hAnsi="Calibri" w:cs="Calibri"/>
          <w:bCs/>
          <w:lang w:val="bs-Latn-BA"/>
        </w:rPr>
        <w:t xml:space="preserve">, </w:t>
      </w:r>
      <w:hyperlink r:id="rId38" w:history="1">
        <w:r w:rsidRPr="006C69B9">
          <w:rPr>
            <w:rFonts w:ascii="Calibri" w:eastAsia="Calibri" w:hAnsi="Calibri" w:cs="Calibri"/>
            <w:lang w:val="bs-Latn-BA"/>
          </w:rPr>
          <w:t>Hrvatski dom herceg Stjepan Kosača</w:t>
        </w:r>
      </w:hyperlink>
      <w:r w:rsidRPr="006C69B9">
        <w:rPr>
          <w:rFonts w:ascii="Calibri" w:eastAsia="Calibri" w:hAnsi="Calibri" w:cs="Calibri"/>
          <w:bCs/>
          <w:lang w:val="bs-Latn-BA"/>
        </w:rPr>
        <w:t xml:space="preserve">, </w:t>
      </w:r>
      <w:hyperlink r:id="rId39" w:history="1">
        <w:r w:rsidRPr="006C69B9">
          <w:rPr>
            <w:rFonts w:ascii="Calibri" w:eastAsia="Calibri" w:hAnsi="Calibri" w:cs="Calibri"/>
            <w:lang w:val="bs-Latn-BA"/>
          </w:rPr>
          <w:t>Centar za kulturu Mostar</w:t>
        </w:r>
      </w:hyperlink>
      <w:r w:rsidRPr="006C69B9">
        <w:rPr>
          <w:rFonts w:ascii="Calibri" w:eastAsia="Calibri" w:hAnsi="Calibri" w:cs="Calibri"/>
          <w:bCs/>
          <w:lang w:val="bs-Latn-BA"/>
        </w:rPr>
        <w:t xml:space="preserve">, </w:t>
      </w:r>
      <w:hyperlink r:id="rId40" w:history="1">
        <w:r w:rsidRPr="006C69B9">
          <w:rPr>
            <w:rFonts w:ascii="Calibri" w:eastAsia="Calibri" w:hAnsi="Calibri" w:cs="Calibri"/>
            <w:lang w:val="bs-Latn-BA"/>
          </w:rPr>
          <w:t>Muzej Hercegovine</w:t>
        </w:r>
      </w:hyperlink>
      <w:r w:rsidRPr="006C69B9">
        <w:rPr>
          <w:rFonts w:ascii="Calibri" w:eastAsia="Calibri" w:hAnsi="Calibri" w:cs="Calibri"/>
          <w:bCs/>
          <w:lang w:val="bs-Latn-BA"/>
        </w:rPr>
        <w:t xml:space="preserve">, </w:t>
      </w:r>
      <w:hyperlink r:id="rId41" w:history="1">
        <w:r w:rsidRPr="006C69B9">
          <w:rPr>
            <w:rFonts w:ascii="Calibri" w:eastAsia="Calibri" w:hAnsi="Calibri" w:cs="Calibri"/>
            <w:lang w:val="bs-Latn-BA"/>
          </w:rPr>
          <w:t>Narodna biblioteka Mostar</w:t>
        </w:r>
      </w:hyperlink>
      <w:r w:rsidRPr="006C69B9">
        <w:rPr>
          <w:rFonts w:ascii="Calibri" w:eastAsia="Calibri" w:hAnsi="Calibri" w:cs="Calibri"/>
          <w:bCs/>
          <w:lang w:val="bs-Latn-BA"/>
        </w:rPr>
        <w:t xml:space="preserve">, </w:t>
      </w:r>
      <w:hyperlink r:id="rId42" w:history="1">
        <w:r w:rsidRPr="006C69B9">
          <w:rPr>
            <w:rFonts w:ascii="Calibri" w:eastAsia="Calibri" w:hAnsi="Calibri" w:cs="Calibri"/>
            <w:lang w:val="bs-Latn-BA"/>
          </w:rPr>
          <w:t>Narodna knjižnica HNŽ Mostar</w:t>
        </w:r>
      </w:hyperlink>
      <w:r w:rsidRPr="006C69B9">
        <w:rPr>
          <w:rFonts w:ascii="Calibri" w:eastAsia="Calibri" w:hAnsi="Calibri" w:cs="Calibri"/>
          <w:bCs/>
          <w:lang w:val="bs-Latn-BA"/>
        </w:rPr>
        <w:t xml:space="preserve">, </w:t>
      </w:r>
      <w:hyperlink r:id="rId43" w:history="1">
        <w:r w:rsidRPr="006C69B9">
          <w:rPr>
            <w:rFonts w:ascii="Calibri" w:eastAsia="Calibri" w:hAnsi="Calibri" w:cs="Calibri"/>
            <w:lang w:val="bs-Latn-BA"/>
          </w:rPr>
          <w:t>Simfonijski orkestar Mostar</w:t>
        </w:r>
      </w:hyperlink>
      <w:r w:rsidRPr="006C69B9">
        <w:rPr>
          <w:rFonts w:ascii="Calibri" w:eastAsia="Calibri" w:hAnsi="Calibri" w:cs="Calibri"/>
          <w:bCs/>
          <w:lang w:val="bs-Latn-BA"/>
        </w:rPr>
        <w:t xml:space="preserve">, </w:t>
      </w:r>
      <w:hyperlink r:id="rId44" w:history="1">
        <w:r w:rsidRPr="006C69B9">
          <w:rPr>
            <w:rFonts w:ascii="Calibri" w:eastAsia="Calibri" w:hAnsi="Calibri" w:cs="Calibri"/>
            <w:lang w:val="bs-Latn-BA"/>
          </w:rPr>
          <w:t>Muzički centar Pavarotti</w:t>
        </w:r>
      </w:hyperlink>
      <w:r w:rsidRPr="006C69B9">
        <w:rPr>
          <w:rFonts w:ascii="Calibri" w:eastAsia="Calibri" w:hAnsi="Calibri" w:cs="Calibri"/>
          <w:bCs/>
          <w:lang w:val="bs-Latn-BA"/>
        </w:rPr>
        <w:t xml:space="preserve">, </w:t>
      </w:r>
      <w:hyperlink r:id="rId45" w:history="1">
        <w:r w:rsidRPr="006C69B9">
          <w:rPr>
            <w:rFonts w:ascii="Calibri" w:eastAsia="Calibri" w:hAnsi="Calibri" w:cs="Calibri"/>
            <w:lang w:val="bs-Latn-BA"/>
          </w:rPr>
          <w:t>Omladinski kulturni centar Abrašević</w:t>
        </w:r>
      </w:hyperlink>
    </w:p>
    <w:p w:rsidR="006C69B9" w:rsidRPr="006C69B9" w:rsidRDefault="006C69B9" w:rsidP="006C69B9">
      <w:pPr>
        <w:spacing w:line="276" w:lineRule="auto"/>
        <w:contextualSpacing/>
        <w:jc w:val="both"/>
        <w:rPr>
          <w:rFonts w:ascii="Calibri" w:eastAsia="Calibri" w:hAnsi="Calibri" w:cs="Calibri"/>
          <w:lang w:val="bs-Latn-BA"/>
        </w:rPr>
      </w:pPr>
      <w:r w:rsidRPr="006C69B9">
        <w:rPr>
          <w:rFonts w:ascii="Calibri" w:eastAsia="Calibri" w:hAnsi="Calibri" w:cs="Calibri"/>
          <w:bCs/>
          <w:lang w:val="bs-Latn-BA"/>
        </w:rPr>
        <w:t>U Čapljini radi</w:t>
      </w:r>
      <w:r w:rsidRPr="006C69B9">
        <w:rPr>
          <w:rFonts w:ascii="Calibri" w:eastAsia="Calibri" w:hAnsi="Calibri" w:cs="Calibri"/>
          <w:bCs/>
          <w:shd w:val="clear" w:color="auto" w:fill="F6F6F6"/>
          <w:lang w:val="bs-Latn-BA"/>
        </w:rPr>
        <w:t xml:space="preserve"> </w:t>
      </w:r>
      <w:hyperlink r:id="rId46" w:history="1">
        <w:r w:rsidRPr="006C69B9">
          <w:rPr>
            <w:rFonts w:ascii="Calibri" w:eastAsia="Times New Roman" w:hAnsi="Calibri" w:cs="Calibri"/>
            <w:bCs/>
            <w:lang w:val="bs-Latn-BA"/>
          </w:rPr>
          <w:t>Gradska knjižnica Čapljina</w:t>
        </w:r>
      </w:hyperlink>
      <w:r w:rsidRPr="006C69B9">
        <w:rPr>
          <w:rFonts w:ascii="Calibri" w:eastAsia="Times New Roman" w:hAnsi="Calibri" w:cs="Calibri"/>
          <w:bCs/>
          <w:lang w:val="bs-Latn-BA"/>
        </w:rPr>
        <w:t xml:space="preserve">, u Čitluku su </w:t>
      </w:r>
      <w:r w:rsidRPr="006C69B9">
        <w:rPr>
          <w:rFonts w:ascii="Calibri" w:eastAsia="Calibri" w:hAnsi="Calibri" w:cs="Calibri"/>
          <w:shd w:val="clear" w:color="auto" w:fill="FFFFFF"/>
          <w:lang w:val="bs-Latn-BA"/>
        </w:rPr>
        <w:t>Hrvatsko kulturno-umjetničko društvo “Brotnjo”, Matica hrvatska – ogranak Čitluk i Kulturno informativni centar (KIC) Čitluk. Jablanica ima 5 kulturnih ustanova JU Muzej “Bitka za ranjenike na Neretvi”, Omladinski klub “Pod istim suncem” – KINO, BZK “Preporod”, Međunarodni centar za djecu i omladinu “Fortis”, Omladinski kulturni centar “Urban Art”. U Konjicu se u sklopu JU Narodni univerzitet u sklopu koje se nalazi zatvorena kino dvorana, i ljetno kino, prostorije za kulturno umjetnička društva, zatim Gradska biblioteka dio Centra za kulturu Narodnog univerziteta, Zavičajni muzej, Rodna kuća Zuke Džumhur i Muzej drvorezbarstva ''Mulićev rekord''. U Neumu radi Muzej i Galerija Neum dok je u Prozor/Rami otvorena</w:t>
      </w:r>
      <w:r w:rsidRPr="006C69B9">
        <w:rPr>
          <w:rFonts w:ascii="Calibri" w:eastAsia="Calibri" w:hAnsi="Calibri" w:cs="Calibri"/>
          <w:lang w:val="bs-Latn-BA"/>
        </w:rPr>
        <w:t xml:space="preserve"> </w:t>
      </w:r>
      <w:r w:rsidRPr="006C69B9">
        <w:rPr>
          <w:rFonts w:ascii="Calibri" w:eastAsia="Calibri" w:hAnsi="Calibri" w:cs="Calibri"/>
          <w:bCs/>
          <w:lang w:val="bs-Latn-BA"/>
        </w:rPr>
        <w:t xml:space="preserve">JU Narodna knjižnica Rama i </w:t>
      </w:r>
      <w:r w:rsidRPr="006C69B9">
        <w:rPr>
          <w:rFonts w:ascii="Calibri" w:eastAsia="Calibri" w:hAnsi="Calibri" w:cs="Calibri"/>
          <w:lang w:val="bs-Latn-BA"/>
        </w:rPr>
        <w:t xml:space="preserve">JU Kulturno-sportski centar Prozor. U Stocu radi samo JU Radimlja Stolac. </w:t>
      </w:r>
    </w:p>
    <w:p w:rsidR="006C69B9" w:rsidRPr="006C69B9" w:rsidRDefault="006C69B9" w:rsidP="006C69B9">
      <w:pPr>
        <w:spacing w:line="276" w:lineRule="auto"/>
        <w:jc w:val="both"/>
        <w:rPr>
          <w:rFonts w:ascii="Calibri" w:eastAsia="Calibri" w:hAnsi="Calibri" w:cs="Times New Roman"/>
          <w:lang w:val="bs-Latn-BA"/>
        </w:rPr>
      </w:pPr>
      <w:r w:rsidRPr="006C69B9">
        <w:rPr>
          <w:rFonts w:ascii="Calibri" w:eastAsia="Calibri" w:hAnsi="Calibri" w:cs="Times New Roman"/>
          <w:lang w:val="bs-Latn-BA"/>
        </w:rPr>
        <w:t>Hercegovačko-neretvanska županija je bogata kulturnim događanjima. Svake godine održava se 36 tradicionalnih  manifestacija u 9 gradova i općina (Tabela 56).</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56. Tradicionalne kulturne manifestacije/događanja </w:t>
      </w:r>
    </w:p>
    <w:tbl>
      <w:tblPr>
        <w:tblStyle w:val="MediumGrid3-Accent51"/>
        <w:tblW w:w="0" w:type="auto"/>
        <w:tblLook w:val="04A0"/>
      </w:tblPr>
      <w:tblGrid>
        <w:gridCol w:w="3109"/>
        <w:gridCol w:w="5921"/>
      </w:tblGrid>
      <w:tr w:rsidR="006C69B9" w:rsidRPr="006C69B9" w:rsidTr="006C69B9">
        <w:trPr>
          <w:cnfStyle w:val="100000000000"/>
        </w:trPr>
        <w:tc>
          <w:tcPr>
            <w:cnfStyle w:val="001000000000"/>
            <w:tcW w:w="3109" w:type="dxa"/>
            <w:shd w:val="clear" w:color="auto" w:fill="D2EAF1"/>
          </w:tcPr>
          <w:p w:rsidR="006C69B9" w:rsidRPr="006C69B9" w:rsidRDefault="006C69B9" w:rsidP="006C69B9">
            <w:pPr>
              <w:spacing w:line="276" w:lineRule="auto"/>
              <w:jc w:val="both"/>
              <w:rPr>
                <w:rFonts w:ascii="Calibri" w:eastAsia="Calibri" w:hAnsi="Calibri" w:cs="Calibri"/>
                <w:sz w:val="20"/>
                <w:szCs w:val="20"/>
                <w:lang w:val="bs-Latn-BA"/>
              </w:rPr>
            </w:pPr>
            <w:r w:rsidRPr="006C69B9">
              <w:rPr>
                <w:rFonts w:ascii="Calibri" w:eastAsia="Calibri" w:hAnsi="Calibri" w:cs="Calibri"/>
                <w:sz w:val="20"/>
                <w:szCs w:val="20"/>
                <w:lang w:val="bs-Latn-BA"/>
              </w:rPr>
              <w:t>Grad/općina</w:t>
            </w:r>
          </w:p>
        </w:tc>
        <w:tc>
          <w:tcPr>
            <w:tcW w:w="5921" w:type="dxa"/>
            <w:shd w:val="clear" w:color="auto" w:fill="D2EAF1"/>
          </w:tcPr>
          <w:p w:rsidR="006C69B9" w:rsidRPr="006C69B9" w:rsidRDefault="006C69B9" w:rsidP="006C69B9">
            <w:pPr>
              <w:spacing w:line="276" w:lineRule="auto"/>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Kulturna manifestacija/događanje</w:t>
            </w:r>
          </w:p>
        </w:tc>
      </w:tr>
      <w:tr w:rsidR="006C69B9" w:rsidRPr="006C69B9" w:rsidTr="006C69B9">
        <w:trPr>
          <w:cnfStyle w:val="000000100000"/>
        </w:trPr>
        <w:tc>
          <w:tcPr>
            <w:cnfStyle w:val="001000000000"/>
            <w:tcW w:w="3109" w:type="dxa"/>
            <w:shd w:val="clear" w:color="auto" w:fill="D2EAF1"/>
          </w:tcPr>
          <w:p w:rsidR="006C69B9" w:rsidRPr="006C69B9" w:rsidRDefault="006C69B9" w:rsidP="006C69B9">
            <w:pPr>
              <w:rPr>
                <w:rFonts w:ascii="Calibri" w:eastAsia="Calibri" w:hAnsi="Calibri" w:cs="Calibri"/>
                <w:i/>
                <w:sz w:val="20"/>
                <w:szCs w:val="20"/>
                <w:lang w:val="bs-Latn-BA"/>
              </w:rPr>
            </w:pPr>
            <w:r w:rsidRPr="006C69B9">
              <w:rPr>
                <w:rFonts w:ascii="Calibri" w:eastAsia="Calibri" w:hAnsi="Calibri" w:cs="Calibri"/>
                <w:i/>
                <w:sz w:val="20"/>
                <w:szCs w:val="20"/>
                <w:lang w:val="bs-Latn-BA"/>
              </w:rPr>
              <w:t>GRAD MOSTAR</w:t>
            </w:r>
          </w:p>
        </w:tc>
        <w:tc>
          <w:tcPr>
            <w:tcW w:w="5921" w:type="dxa"/>
            <w:shd w:val="clear" w:color="auto" w:fill="D2EAF1"/>
          </w:tcPr>
          <w:p w:rsidR="006C69B9" w:rsidRPr="006C69B9" w:rsidRDefault="006C69B9" w:rsidP="00F85905">
            <w:pPr>
              <w:numPr>
                <w:ilvl w:val="0"/>
                <w:numId w:val="21"/>
              </w:numPr>
              <w:spacing w:line="276"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Mostarsko ljeto</w:t>
            </w:r>
          </w:p>
          <w:p w:rsidR="006C69B9" w:rsidRPr="006C69B9" w:rsidRDefault="006C69B9" w:rsidP="00F85905">
            <w:pPr>
              <w:numPr>
                <w:ilvl w:val="0"/>
                <w:numId w:val="21"/>
              </w:numPr>
              <w:spacing w:line="276"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Festival komedije Mostarska liska</w:t>
            </w:r>
          </w:p>
          <w:p w:rsidR="006C69B9" w:rsidRPr="006C69B9" w:rsidRDefault="006C69B9" w:rsidP="00F85905">
            <w:pPr>
              <w:numPr>
                <w:ilvl w:val="0"/>
                <w:numId w:val="21"/>
              </w:numPr>
              <w:spacing w:line="276"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Mostarsko proljeće</w:t>
            </w:r>
          </w:p>
          <w:p w:rsidR="006C69B9" w:rsidRPr="006C69B9" w:rsidRDefault="006C69B9" w:rsidP="00F85905">
            <w:pPr>
              <w:numPr>
                <w:ilvl w:val="0"/>
                <w:numId w:val="21"/>
              </w:numPr>
              <w:shd w:val="clear" w:color="auto" w:fill="B6DDE8"/>
              <w:spacing w:line="276" w:lineRule="auto"/>
              <w:contextualSpacing/>
              <w:textAlignment w:val="baseline"/>
              <w:outlineLvl w:val="0"/>
              <w:cnfStyle w:val="000000100000"/>
              <w:rPr>
                <w:rFonts w:ascii="Calibri" w:eastAsia="Times New Roman" w:hAnsi="Calibri" w:cs="Calibri"/>
                <w:color w:val="222222"/>
                <w:kern w:val="36"/>
                <w:sz w:val="20"/>
                <w:szCs w:val="20"/>
                <w:lang w:val="bs-Latn-BA" w:eastAsia="hr-BA"/>
              </w:rPr>
            </w:pPr>
            <w:bookmarkStart w:id="53" w:name="_Toc57573226"/>
            <w:r w:rsidRPr="006C69B9">
              <w:rPr>
                <w:rFonts w:ascii="Calibri" w:eastAsia="Times New Roman" w:hAnsi="Calibri" w:cs="Calibri"/>
                <w:color w:val="222222"/>
                <w:kern w:val="36"/>
                <w:sz w:val="20"/>
                <w:szCs w:val="20"/>
                <w:lang w:val="bs-Latn-BA" w:eastAsia="hr-BA"/>
              </w:rPr>
              <w:t>Mostarski strip vikend</w:t>
            </w:r>
            <w:bookmarkEnd w:id="53"/>
          </w:p>
          <w:p w:rsidR="006C69B9" w:rsidRPr="006C69B9" w:rsidRDefault="006C69B9" w:rsidP="00F85905">
            <w:pPr>
              <w:numPr>
                <w:ilvl w:val="0"/>
                <w:numId w:val="21"/>
              </w:numPr>
              <w:spacing w:line="276"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Mostar summer fest</w:t>
            </w:r>
          </w:p>
          <w:p w:rsidR="006C69B9" w:rsidRPr="006C69B9" w:rsidRDefault="006C69B9" w:rsidP="00F85905">
            <w:pPr>
              <w:numPr>
                <w:ilvl w:val="0"/>
                <w:numId w:val="21"/>
              </w:numPr>
              <w:spacing w:line="276"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Šantićeve večeri poezije</w:t>
            </w:r>
          </w:p>
          <w:p w:rsidR="006C69B9" w:rsidRPr="006C69B9" w:rsidRDefault="006C69B9" w:rsidP="00F85905">
            <w:pPr>
              <w:numPr>
                <w:ilvl w:val="0"/>
                <w:numId w:val="21"/>
              </w:numPr>
              <w:spacing w:line="276"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Gitarijada „ Na putu za jug“</w:t>
            </w:r>
          </w:p>
          <w:p w:rsidR="006C69B9" w:rsidRPr="006C69B9" w:rsidRDefault="006C69B9" w:rsidP="00F85905">
            <w:pPr>
              <w:numPr>
                <w:ilvl w:val="0"/>
                <w:numId w:val="21"/>
              </w:numPr>
              <w:spacing w:line="360"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Mostar Blues Festival</w:t>
            </w:r>
          </w:p>
          <w:p w:rsidR="006C69B9" w:rsidRPr="006C69B9" w:rsidRDefault="006C69B9" w:rsidP="00F85905">
            <w:pPr>
              <w:numPr>
                <w:ilvl w:val="0"/>
                <w:numId w:val="21"/>
              </w:numPr>
              <w:spacing w:line="360"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Festival Poligon</w:t>
            </w:r>
          </w:p>
          <w:p w:rsidR="006C69B9" w:rsidRPr="006C69B9" w:rsidRDefault="006C69B9" w:rsidP="00F85905">
            <w:pPr>
              <w:numPr>
                <w:ilvl w:val="0"/>
                <w:numId w:val="21"/>
              </w:numPr>
              <w:spacing w:line="360"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 xml:space="preserve">Mostar Film Festival </w:t>
            </w:r>
          </w:p>
          <w:p w:rsidR="006C69B9" w:rsidRPr="006C69B9" w:rsidRDefault="006C69B9" w:rsidP="006C69B9">
            <w:pPr>
              <w:spacing w:line="276" w:lineRule="auto"/>
              <w:jc w:val="both"/>
              <w:cnfStyle w:val="000000100000"/>
              <w:rPr>
                <w:rFonts w:ascii="Calibri" w:eastAsia="Calibri" w:hAnsi="Calibri" w:cs="Calibri"/>
                <w:sz w:val="20"/>
                <w:szCs w:val="20"/>
                <w:lang w:val="bs-Latn-BA"/>
              </w:rPr>
            </w:pPr>
          </w:p>
        </w:tc>
      </w:tr>
      <w:tr w:rsidR="006C69B9" w:rsidRPr="006C69B9" w:rsidTr="006C69B9">
        <w:tc>
          <w:tcPr>
            <w:cnfStyle w:val="001000000000"/>
            <w:tcW w:w="3109" w:type="dxa"/>
            <w:shd w:val="clear" w:color="auto" w:fill="D2EAF1"/>
          </w:tcPr>
          <w:p w:rsidR="006C69B9" w:rsidRPr="006C69B9" w:rsidRDefault="006C69B9" w:rsidP="006C69B9">
            <w:pPr>
              <w:spacing w:line="360" w:lineRule="auto"/>
              <w:rPr>
                <w:rFonts w:ascii="Calibri" w:eastAsia="Calibri" w:hAnsi="Calibri" w:cs="Calibri"/>
                <w:i/>
                <w:sz w:val="20"/>
                <w:szCs w:val="20"/>
                <w:lang w:val="bs-Latn-BA"/>
              </w:rPr>
            </w:pPr>
            <w:r w:rsidRPr="006C69B9">
              <w:rPr>
                <w:rFonts w:ascii="Calibri" w:eastAsia="Calibri" w:hAnsi="Calibri" w:cs="Calibri"/>
                <w:i/>
                <w:sz w:val="20"/>
                <w:szCs w:val="20"/>
                <w:lang w:val="bs-Latn-BA"/>
              </w:rPr>
              <w:t>ČAPLJINA:</w:t>
            </w:r>
          </w:p>
          <w:p w:rsidR="006C69B9" w:rsidRPr="006C69B9" w:rsidRDefault="006C69B9" w:rsidP="006C69B9">
            <w:pPr>
              <w:spacing w:line="276" w:lineRule="auto"/>
              <w:jc w:val="both"/>
              <w:rPr>
                <w:rFonts w:ascii="Calibri" w:eastAsia="Calibri" w:hAnsi="Calibri" w:cs="Calibri"/>
                <w:sz w:val="20"/>
                <w:szCs w:val="20"/>
                <w:lang w:val="bs-Latn-BA"/>
              </w:rPr>
            </w:pPr>
          </w:p>
        </w:tc>
        <w:tc>
          <w:tcPr>
            <w:tcW w:w="5921" w:type="dxa"/>
          </w:tcPr>
          <w:p w:rsidR="006C69B9" w:rsidRPr="006C69B9" w:rsidRDefault="006C69B9" w:rsidP="00F85905">
            <w:pPr>
              <w:numPr>
                <w:ilvl w:val="0"/>
                <w:numId w:val="20"/>
              </w:numPr>
              <w:shd w:val="clear" w:color="auto" w:fill="B6DDE8"/>
              <w:ind w:left="709" w:hanging="720"/>
              <w:contextualSpacing/>
              <w:cnfStyle w:val="000000000000"/>
              <w:rPr>
                <w:rFonts w:ascii="Calibri" w:eastAsia="Calibri" w:hAnsi="Calibri" w:cs="Calibri"/>
                <w:sz w:val="20"/>
                <w:szCs w:val="20"/>
                <w:lang w:val="bs-Latn-BA"/>
              </w:rPr>
            </w:pPr>
            <w:r w:rsidRPr="006C69B9">
              <w:rPr>
                <w:rFonts w:ascii="Calibri" w:eastAsia="Calibri" w:hAnsi="Calibri" w:cs="Calibri"/>
                <w:color w:val="222222"/>
                <w:sz w:val="20"/>
                <w:szCs w:val="20"/>
                <w:shd w:val="clear" w:color="auto" w:fill="FFFFFF"/>
                <w:lang w:val="bs-Latn-BA"/>
              </w:rPr>
              <w:t>Kulturno – turistička manifestacija “Dani Trebižata”</w:t>
            </w:r>
          </w:p>
          <w:p w:rsidR="006C69B9" w:rsidRPr="006C69B9" w:rsidRDefault="006C69B9" w:rsidP="00F85905">
            <w:pPr>
              <w:numPr>
                <w:ilvl w:val="0"/>
                <w:numId w:val="20"/>
              </w:numPr>
              <w:shd w:val="clear" w:color="auto" w:fill="B6DDE8"/>
              <w:contextualSpacing/>
              <w:cnfStyle w:val="000000000000"/>
              <w:rPr>
                <w:rFonts w:ascii="Calibri" w:eastAsia="Calibri" w:hAnsi="Calibri" w:cs="Calibri"/>
                <w:sz w:val="20"/>
                <w:szCs w:val="20"/>
                <w:lang w:val="bs-Latn-BA"/>
              </w:rPr>
            </w:pPr>
            <w:r w:rsidRPr="006C69B9">
              <w:rPr>
                <w:rFonts w:ascii="Calibri" w:eastAsia="Calibri" w:hAnsi="Calibri" w:cs="Calibri"/>
                <w:color w:val="222222"/>
                <w:sz w:val="20"/>
                <w:szCs w:val="20"/>
                <w:shd w:val="clear" w:color="auto" w:fill="FFFFFF"/>
                <w:lang w:val="bs-Latn-BA"/>
              </w:rPr>
              <w:t>Pokladni dani Trebižat</w:t>
            </w:r>
          </w:p>
          <w:p w:rsidR="006C69B9" w:rsidRPr="006C69B9" w:rsidRDefault="006C69B9" w:rsidP="00F85905">
            <w:pPr>
              <w:numPr>
                <w:ilvl w:val="0"/>
                <w:numId w:val="20"/>
              </w:numPr>
              <w:shd w:val="clear" w:color="auto" w:fill="B6DDE8"/>
              <w:contextualSpacing/>
              <w:cnfStyle w:val="000000000000"/>
              <w:rPr>
                <w:rFonts w:ascii="Calibri" w:eastAsia="Calibri" w:hAnsi="Calibri" w:cs="Calibri"/>
                <w:sz w:val="20"/>
                <w:szCs w:val="20"/>
                <w:lang w:val="bs-Latn-BA"/>
              </w:rPr>
            </w:pPr>
            <w:r w:rsidRPr="006C69B9">
              <w:rPr>
                <w:rFonts w:ascii="Calibri" w:eastAsia="Calibri" w:hAnsi="Calibri" w:cs="Calibri"/>
                <w:color w:val="222222"/>
                <w:sz w:val="20"/>
                <w:szCs w:val="20"/>
                <w:shd w:val="clear" w:color="auto" w:fill="FFFFFF"/>
                <w:lang w:val="bs-Latn-BA"/>
              </w:rPr>
              <w:t>Čapljinski međunarodni ljetni karneval</w:t>
            </w:r>
          </w:p>
          <w:p w:rsidR="006C69B9" w:rsidRPr="006C69B9" w:rsidRDefault="006C69B9" w:rsidP="00F85905">
            <w:pPr>
              <w:numPr>
                <w:ilvl w:val="0"/>
                <w:numId w:val="20"/>
              </w:numPr>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Kultura I cvijeće</w:t>
            </w:r>
          </w:p>
        </w:tc>
      </w:tr>
      <w:tr w:rsidR="006C69B9" w:rsidRPr="006C69B9" w:rsidTr="006C69B9">
        <w:trPr>
          <w:cnfStyle w:val="000000100000"/>
        </w:trPr>
        <w:tc>
          <w:tcPr>
            <w:cnfStyle w:val="001000000000"/>
            <w:tcW w:w="3109" w:type="dxa"/>
            <w:shd w:val="clear" w:color="auto" w:fill="D2EAF1"/>
          </w:tcPr>
          <w:p w:rsidR="006C69B9" w:rsidRPr="006C69B9" w:rsidRDefault="006C69B9" w:rsidP="006C69B9">
            <w:pPr>
              <w:spacing w:line="360" w:lineRule="auto"/>
              <w:rPr>
                <w:rFonts w:ascii="Calibri" w:eastAsia="Calibri" w:hAnsi="Calibri" w:cs="Calibri"/>
                <w:i/>
                <w:sz w:val="20"/>
                <w:szCs w:val="20"/>
                <w:lang w:val="bs-Latn-BA"/>
              </w:rPr>
            </w:pPr>
            <w:r w:rsidRPr="006C69B9">
              <w:rPr>
                <w:rFonts w:ascii="Calibri" w:eastAsia="Calibri" w:hAnsi="Calibri" w:cs="Calibri"/>
                <w:i/>
                <w:sz w:val="20"/>
                <w:szCs w:val="20"/>
                <w:lang w:val="bs-Latn-BA"/>
              </w:rPr>
              <w:t>ČITLUK:</w:t>
            </w:r>
          </w:p>
          <w:p w:rsidR="006C69B9" w:rsidRPr="006C69B9" w:rsidRDefault="006C69B9" w:rsidP="006C69B9">
            <w:pPr>
              <w:spacing w:line="276" w:lineRule="auto"/>
              <w:jc w:val="both"/>
              <w:rPr>
                <w:rFonts w:ascii="Calibri" w:eastAsia="Calibri" w:hAnsi="Calibri" w:cs="Calibri"/>
                <w:sz w:val="20"/>
                <w:szCs w:val="20"/>
                <w:lang w:val="bs-Latn-BA"/>
              </w:rPr>
            </w:pPr>
          </w:p>
        </w:tc>
        <w:tc>
          <w:tcPr>
            <w:tcW w:w="5921" w:type="dxa"/>
            <w:shd w:val="clear" w:color="auto" w:fill="D2EAF1"/>
          </w:tcPr>
          <w:p w:rsidR="006C69B9" w:rsidRPr="006C69B9" w:rsidRDefault="006C69B9" w:rsidP="00F85905">
            <w:pPr>
              <w:numPr>
                <w:ilvl w:val="0"/>
                <w:numId w:val="14"/>
              </w:numPr>
              <w:shd w:val="clear" w:color="auto" w:fill="B6DDE8"/>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shd w:val="clear" w:color="auto" w:fill="FFFFFF"/>
                <w:lang w:val="bs-Latn-BA"/>
              </w:rPr>
              <w:t>Dani berbe grožđa</w:t>
            </w:r>
          </w:p>
          <w:p w:rsidR="006C69B9" w:rsidRPr="006C69B9" w:rsidRDefault="006C69B9" w:rsidP="00F85905">
            <w:pPr>
              <w:numPr>
                <w:ilvl w:val="0"/>
                <w:numId w:val="14"/>
              </w:numPr>
              <w:contextualSpacing/>
              <w:cnfStyle w:val="000000100000"/>
              <w:rPr>
                <w:rFonts w:ascii="Calibri" w:eastAsia="Calibri" w:hAnsi="Calibri" w:cs="Calibri"/>
                <w:sz w:val="20"/>
                <w:szCs w:val="20"/>
                <w:lang w:val="bs-Latn-BA"/>
              </w:rPr>
            </w:pPr>
            <w:r w:rsidRPr="006C69B9">
              <w:rPr>
                <w:rFonts w:ascii="Calibri" w:eastAsia="Calibri" w:hAnsi="Calibri" w:cs="Calibri"/>
                <w:color w:val="000000"/>
                <w:sz w:val="20"/>
                <w:szCs w:val="20"/>
                <w:lang w:val="bs-Latn-BA"/>
              </w:rPr>
              <w:t>Međunarodni Glazbeni Festival- Međugorje</w:t>
            </w:r>
          </w:p>
          <w:p w:rsidR="006C69B9" w:rsidRPr="006C69B9" w:rsidRDefault="006C69B9" w:rsidP="00F85905">
            <w:pPr>
              <w:numPr>
                <w:ilvl w:val="0"/>
                <w:numId w:val="14"/>
              </w:numPr>
              <w:contextualSpacing/>
              <w:cnfStyle w:val="000000100000"/>
              <w:rPr>
                <w:rFonts w:ascii="Calibri" w:eastAsia="Calibri" w:hAnsi="Calibri" w:cs="Calibri"/>
                <w:sz w:val="20"/>
                <w:szCs w:val="20"/>
                <w:lang w:val="bs-Latn-BA"/>
              </w:rPr>
            </w:pPr>
            <w:r w:rsidRPr="006C69B9">
              <w:rPr>
                <w:rFonts w:ascii="Calibri" w:eastAsia="Calibri" w:hAnsi="Calibri" w:cs="Calibri"/>
                <w:color w:val="000000"/>
                <w:sz w:val="20"/>
                <w:szCs w:val="20"/>
                <w:lang w:val="bs-Latn-BA"/>
              </w:rPr>
              <w:t>Festival mladih Međugorje</w:t>
            </w:r>
          </w:p>
        </w:tc>
      </w:tr>
      <w:tr w:rsidR="006C69B9" w:rsidRPr="006C69B9" w:rsidTr="006C69B9">
        <w:tc>
          <w:tcPr>
            <w:cnfStyle w:val="001000000000"/>
            <w:tcW w:w="3109" w:type="dxa"/>
            <w:shd w:val="clear" w:color="auto" w:fill="D2EAF1"/>
          </w:tcPr>
          <w:p w:rsidR="006C69B9" w:rsidRPr="006C69B9" w:rsidRDefault="006C69B9" w:rsidP="006C69B9">
            <w:pPr>
              <w:spacing w:line="360" w:lineRule="auto"/>
              <w:rPr>
                <w:rFonts w:ascii="Calibri" w:eastAsia="Calibri" w:hAnsi="Calibri" w:cs="Calibri"/>
                <w:i/>
                <w:sz w:val="20"/>
                <w:szCs w:val="20"/>
                <w:lang w:val="bs-Latn-BA"/>
              </w:rPr>
            </w:pPr>
            <w:r w:rsidRPr="006C69B9">
              <w:rPr>
                <w:rFonts w:ascii="Calibri" w:eastAsia="Calibri" w:hAnsi="Calibri" w:cs="Calibri"/>
                <w:i/>
                <w:sz w:val="20"/>
                <w:szCs w:val="20"/>
                <w:lang w:val="bs-Latn-BA"/>
              </w:rPr>
              <w:t>JABLANICA:</w:t>
            </w:r>
          </w:p>
          <w:p w:rsidR="006C69B9" w:rsidRPr="006C69B9" w:rsidRDefault="006C69B9" w:rsidP="006C69B9">
            <w:pPr>
              <w:spacing w:line="276" w:lineRule="auto"/>
              <w:jc w:val="both"/>
              <w:rPr>
                <w:rFonts w:ascii="Calibri" w:eastAsia="Calibri" w:hAnsi="Calibri" w:cs="Calibri"/>
                <w:sz w:val="20"/>
                <w:szCs w:val="20"/>
                <w:lang w:val="bs-Latn-BA"/>
              </w:rPr>
            </w:pPr>
          </w:p>
        </w:tc>
        <w:tc>
          <w:tcPr>
            <w:tcW w:w="5921" w:type="dxa"/>
          </w:tcPr>
          <w:p w:rsidR="006C69B9" w:rsidRPr="006C69B9" w:rsidRDefault="006C69B9" w:rsidP="00F85905">
            <w:pPr>
              <w:numPr>
                <w:ilvl w:val="0"/>
                <w:numId w:val="15"/>
              </w:numPr>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Jablaničko ljeto</w:t>
            </w:r>
          </w:p>
          <w:p w:rsidR="006C69B9" w:rsidRPr="006C69B9" w:rsidRDefault="006C69B9" w:rsidP="00F85905">
            <w:pPr>
              <w:numPr>
                <w:ilvl w:val="0"/>
                <w:numId w:val="15"/>
              </w:numPr>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Večer sevdaha</w:t>
            </w:r>
          </w:p>
          <w:p w:rsidR="006C69B9" w:rsidRPr="006C69B9" w:rsidRDefault="006C69B9" w:rsidP="00F85905">
            <w:pPr>
              <w:numPr>
                <w:ilvl w:val="0"/>
                <w:numId w:val="15"/>
              </w:numPr>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Smotra folklora</w:t>
            </w:r>
          </w:p>
        </w:tc>
      </w:tr>
      <w:tr w:rsidR="006C69B9" w:rsidRPr="006C69B9" w:rsidTr="006C69B9">
        <w:trPr>
          <w:cnfStyle w:val="000000100000"/>
        </w:trPr>
        <w:tc>
          <w:tcPr>
            <w:cnfStyle w:val="001000000000"/>
            <w:tcW w:w="3109" w:type="dxa"/>
            <w:shd w:val="clear" w:color="auto" w:fill="D2EAF1"/>
          </w:tcPr>
          <w:p w:rsidR="006C69B9" w:rsidRPr="006C69B9" w:rsidRDefault="006C69B9" w:rsidP="006C69B9">
            <w:pPr>
              <w:spacing w:line="360" w:lineRule="auto"/>
              <w:rPr>
                <w:rFonts w:ascii="Calibri" w:eastAsia="Calibri" w:hAnsi="Calibri" w:cs="Calibri"/>
                <w:i/>
                <w:sz w:val="20"/>
                <w:szCs w:val="20"/>
                <w:lang w:val="bs-Latn-BA"/>
              </w:rPr>
            </w:pPr>
            <w:r w:rsidRPr="006C69B9">
              <w:rPr>
                <w:rFonts w:ascii="Calibri" w:eastAsia="Calibri" w:hAnsi="Calibri" w:cs="Calibri"/>
                <w:i/>
                <w:sz w:val="20"/>
                <w:szCs w:val="20"/>
                <w:lang w:val="bs-Latn-BA"/>
              </w:rPr>
              <w:t>KONJIC:</w:t>
            </w:r>
          </w:p>
          <w:p w:rsidR="006C69B9" w:rsidRPr="006C69B9" w:rsidRDefault="006C69B9" w:rsidP="006C69B9">
            <w:pPr>
              <w:spacing w:line="276" w:lineRule="auto"/>
              <w:jc w:val="both"/>
              <w:rPr>
                <w:rFonts w:ascii="Calibri" w:eastAsia="Calibri" w:hAnsi="Calibri" w:cs="Calibri"/>
                <w:sz w:val="20"/>
                <w:szCs w:val="20"/>
                <w:lang w:val="bs-Latn-BA"/>
              </w:rPr>
            </w:pPr>
          </w:p>
        </w:tc>
        <w:tc>
          <w:tcPr>
            <w:tcW w:w="5921" w:type="dxa"/>
            <w:shd w:val="clear" w:color="auto" w:fill="D2EAF1"/>
          </w:tcPr>
          <w:p w:rsidR="006C69B9" w:rsidRPr="006C69B9" w:rsidRDefault="006C69B9" w:rsidP="00F85905">
            <w:pPr>
              <w:numPr>
                <w:ilvl w:val="0"/>
                <w:numId w:val="19"/>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Dani Općine Konjic</w:t>
            </w:r>
          </w:p>
          <w:p w:rsidR="006C69B9" w:rsidRPr="006C69B9" w:rsidRDefault="006C69B9" w:rsidP="00F85905">
            <w:pPr>
              <w:numPr>
                <w:ilvl w:val="0"/>
                <w:numId w:val="19"/>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Konjička sehara-Međunarodni festival folklore</w:t>
            </w:r>
          </w:p>
          <w:p w:rsidR="006C69B9" w:rsidRPr="006C69B9" w:rsidRDefault="006C69B9" w:rsidP="00F85905">
            <w:pPr>
              <w:numPr>
                <w:ilvl w:val="0"/>
                <w:numId w:val="19"/>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Konjičko kulturno ljeto, Manifestacija “Dani Zuke Džumhura”</w:t>
            </w:r>
          </w:p>
          <w:p w:rsidR="006C69B9" w:rsidRPr="006C69B9" w:rsidRDefault="006C69B9" w:rsidP="00F85905">
            <w:pPr>
              <w:numPr>
                <w:ilvl w:val="0"/>
                <w:numId w:val="19"/>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 xml:space="preserve">Kulturno-obrazovna manifestacija “Dani Sejfulaha Ef. Prohe” </w:t>
            </w:r>
          </w:p>
        </w:tc>
      </w:tr>
      <w:tr w:rsidR="006C69B9" w:rsidRPr="006C69B9" w:rsidTr="006C69B9">
        <w:tc>
          <w:tcPr>
            <w:cnfStyle w:val="001000000000"/>
            <w:tcW w:w="3109" w:type="dxa"/>
            <w:shd w:val="clear" w:color="auto" w:fill="D2EAF1"/>
          </w:tcPr>
          <w:p w:rsidR="006C69B9" w:rsidRPr="006C69B9" w:rsidRDefault="006C69B9" w:rsidP="006C69B9">
            <w:pPr>
              <w:rPr>
                <w:rFonts w:ascii="Calibri" w:eastAsia="Calibri" w:hAnsi="Calibri" w:cs="Calibri"/>
                <w:i/>
                <w:sz w:val="20"/>
                <w:szCs w:val="20"/>
                <w:lang w:val="bs-Latn-BA"/>
              </w:rPr>
            </w:pPr>
            <w:r w:rsidRPr="006C69B9">
              <w:rPr>
                <w:rFonts w:ascii="Calibri" w:eastAsia="Calibri" w:hAnsi="Calibri" w:cs="Calibri"/>
                <w:i/>
                <w:sz w:val="20"/>
                <w:szCs w:val="20"/>
                <w:lang w:val="bs-Latn-BA"/>
              </w:rPr>
              <w:t>NEUM:</w:t>
            </w:r>
          </w:p>
          <w:p w:rsidR="006C69B9" w:rsidRPr="006C69B9" w:rsidRDefault="006C69B9" w:rsidP="006C69B9">
            <w:pPr>
              <w:spacing w:line="360" w:lineRule="auto"/>
              <w:rPr>
                <w:rFonts w:ascii="Calibri" w:eastAsia="Calibri" w:hAnsi="Calibri" w:cs="Calibri"/>
                <w:i/>
                <w:sz w:val="20"/>
                <w:szCs w:val="20"/>
                <w:lang w:val="bs-Latn-BA"/>
              </w:rPr>
            </w:pPr>
          </w:p>
        </w:tc>
        <w:tc>
          <w:tcPr>
            <w:tcW w:w="5921" w:type="dxa"/>
          </w:tcPr>
          <w:p w:rsidR="006C69B9" w:rsidRPr="006C69B9" w:rsidRDefault="006C69B9" w:rsidP="00F85905">
            <w:pPr>
              <w:numPr>
                <w:ilvl w:val="0"/>
                <w:numId w:val="19"/>
              </w:numPr>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lastRenderedPageBreak/>
              <w:t>Umjetnička kolonija Neum</w:t>
            </w:r>
          </w:p>
          <w:p w:rsidR="006C69B9" w:rsidRPr="006C69B9" w:rsidRDefault="006C69B9" w:rsidP="00F85905">
            <w:pPr>
              <w:numPr>
                <w:ilvl w:val="0"/>
                <w:numId w:val="19"/>
              </w:numPr>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lastRenderedPageBreak/>
              <w:t>Hrvatski glazbeni festival „Etnofest Neum“</w:t>
            </w:r>
          </w:p>
          <w:p w:rsidR="006C69B9" w:rsidRPr="006C69B9" w:rsidRDefault="006C69B9" w:rsidP="00F85905">
            <w:pPr>
              <w:numPr>
                <w:ilvl w:val="0"/>
                <w:numId w:val="19"/>
              </w:numPr>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Neumski animirani filmski festival – NAFF</w:t>
            </w:r>
          </w:p>
        </w:tc>
      </w:tr>
      <w:tr w:rsidR="006C69B9" w:rsidRPr="006C69B9" w:rsidTr="006C69B9">
        <w:trPr>
          <w:cnfStyle w:val="000000100000"/>
          <w:trHeight w:val="314"/>
        </w:trPr>
        <w:tc>
          <w:tcPr>
            <w:cnfStyle w:val="001000000000"/>
            <w:tcW w:w="3109" w:type="dxa"/>
            <w:shd w:val="clear" w:color="auto" w:fill="D2EAF1"/>
          </w:tcPr>
          <w:p w:rsidR="006C69B9" w:rsidRPr="006C69B9" w:rsidRDefault="006C69B9" w:rsidP="006C69B9">
            <w:pPr>
              <w:spacing w:line="360" w:lineRule="auto"/>
              <w:rPr>
                <w:rFonts w:ascii="Calibri" w:eastAsia="Calibri" w:hAnsi="Calibri" w:cs="Calibri"/>
                <w:i/>
                <w:sz w:val="20"/>
                <w:szCs w:val="20"/>
                <w:lang w:val="bs-Latn-BA"/>
              </w:rPr>
            </w:pPr>
            <w:r w:rsidRPr="006C69B9">
              <w:rPr>
                <w:rFonts w:ascii="Calibri" w:eastAsia="Calibri" w:hAnsi="Calibri" w:cs="Calibri"/>
                <w:i/>
                <w:sz w:val="20"/>
                <w:szCs w:val="20"/>
                <w:lang w:val="bs-Latn-BA"/>
              </w:rPr>
              <w:lastRenderedPageBreak/>
              <w:t>PROZOR/RAMA:</w:t>
            </w:r>
          </w:p>
        </w:tc>
        <w:tc>
          <w:tcPr>
            <w:tcW w:w="5921" w:type="dxa"/>
            <w:shd w:val="clear" w:color="auto" w:fill="D2EAF1"/>
          </w:tcPr>
          <w:p w:rsidR="006C69B9" w:rsidRPr="006C69B9" w:rsidRDefault="006C69B9" w:rsidP="00F85905">
            <w:pPr>
              <w:numPr>
                <w:ilvl w:val="0"/>
                <w:numId w:val="16"/>
              </w:numPr>
              <w:spacing w:after="200" w:line="276" w:lineRule="auto"/>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Ramske maškare</w:t>
            </w:r>
          </w:p>
        </w:tc>
      </w:tr>
      <w:tr w:rsidR="006C69B9" w:rsidRPr="006C69B9" w:rsidTr="006C69B9">
        <w:tc>
          <w:tcPr>
            <w:cnfStyle w:val="001000000000"/>
            <w:tcW w:w="3109" w:type="dxa"/>
            <w:shd w:val="clear" w:color="auto" w:fill="D2EAF1"/>
          </w:tcPr>
          <w:p w:rsidR="006C69B9" w:rsidRPr="006C69B9" w:rsidRDefault="006C69B9" w:rsidP="006C69B9">
            <w:pPr>
              <w:spacing w:line="360" w:lineRule="auto"/>
              <w:rPr>
                <w:rFonts w:ascii="Calibri" w:eastAsia="Calibri" w:hAnsi="Calibri" w:cs="Calibri"/>
                <w:i/>
                <w:sz w:val="20"/>
                <w:szCs w:val="20"/>
                <w:lang w:val="bs-Latn-BA"/>
              </w:rPr>
            </w:pPr>
            <w:r w:rsidRPr="006C69B9">
              <w:rPr>
                <w:rFonts w:ascii="Calibri" w:eastAsia="Calibri" w:hAnsi="Calibri" w:cs="Calibri"/>
                <w:i/>
                <w:sz w:val="20"/>
                <w:szCs w:val="20"/>
                <w:lang w:val="bs-Latn-BA"/>
              </w:rPr>
              <w:t>RAVNO</w:t>
            </w:r>
          </w:p>
        </w:tc>
        <w:tc>
          <w:tcPr>
            <w:tcW w:w="5921" w:type="dxa"/>
          </w:tcPr>
          <w:p w:rsidR="006C69B9" w:rsidRPr="006C69B9" w:rsidRDefault="006C69B9" w:rsidP="00F85905">
            <w:pPr>
              <w:numPr>
                <w:ilvl w:val="0"/>
                <w:numId w:val="18"/>
              </w:numPr>
              <w:spacing w:line="360" w:lineRule="auto"/>
              <w:contextualSpacing/>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Ravanjski ljetni dani kulture</w:t>
            </w:r>
          </w:p>
        </w:tc>
      </w:tr>
      <w:tr w:rsidR="006C69B9" w:rsidRPr="006C69B9" w:rsidTr="006C69B9">
        <w:trPr>
          <w:cnfStyle w:val="000000100000"/>
        </w:trPr>
        <w:tc>
          <w:tcPr>
            <w:cnfStyle w:val="001000000000"/>
            <w:tcW w:w="3109" w:type="dxa"/>
            <w:shd w:val="clear" w:color="auto" w:fill="D2EAF1"/>
          </w:tcPr>
          <w:p w:rsidR="006C69B9" w:rsidRPr="006C69B9" w:rsidRDefault="006C69B9" w:rsidP="006C69B9">
            <w:pPr>
              <w:rPr>
                <w:rFonts w:ascii="Calibri" w:eastAsia="Calibri" w:hAnsi="Calibri" w:cs="Calibri"/>
                <w:i/>
                <w:sz w:val="20"/>
                <w:szCs w:val="20"/>
                <w:lang w:val="bs-Latn-BA"/>
              </w:rPr>
            </w:pPr>
            <w:r w:rsidRPr="006C69B9">
              <w:rPr>
                <w:rFonts w:ascii="Calibri" w:eastAsia="Calibri" w:hAnsi="Calibri" w:cs="Calibri"/>
                <w:i/>
                <w:sz w:val="20"/>
                <w:szCs w:val="20"/>
                <w:lang w:val="bs-Latn-BA"/>
              </w:rPr>
              <w:t>STOLAC:</w:t>
            </w:r>
          </w:p>
          <w:p w:rsidR="006C69B9" w:rsidRPr="006C69B9" w:rsidRDefault="006C69B9" w:rsidP="006C69B9">
            <w:pPr>
              <w:spacing w:line="360" w:lineRule="auto"/>
              <w:rPr>
                <w:rFonts w:ascii="Calibri" w:eastAsia="Calibri" w:hAnsi="Calibri" w:cs="Calibri"/>
                <w:i/>
                <w:sz w:val="20"/>
                <w:szCs w:val="20"/>
                <w:lang w:val="bs-Latn-BA"/>
              </w:rPr>
            </w:pPr>
          </w:p>
        </w:tc>
        <w:tc>
          <w:tcPr>
            <w:tcW w:w="5921" w:type="dxa"/>
            <w:shd w:val="clear" w:color="auto" w:fill="D2EAF1"/>
          </w:tcPr>
          <w:p w:rsidR="006C69B9" w:rsidRPr="006C69B9" w:rsidRDefault="006C69B9" w:rsidP="00F85905">
            <w:pPr>
              <w:numPr>
                <w:ilvl w:val="0"/>
                <w:numId w:val="17"/>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Ilindan</w:t>
            </w:r>
          </w:p>
          <w:p w:rsidR="006C69B9" w:rsidRPr="006C69B9" w:rsidRDefault="006C69B9" w:rsidP="00F85905">
            <w:pPr>
              <w:numPr>
                <w:ilvl w:val="0"/>
                <w:numId w:val="17"/>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Stolačko kulturno proljeće</w:t>
            </w:r>
          </w:p>
          <w:p w:rsidR="006C69B9" w:rsidRPr="006C69B9" w:rsidRDefault="006C69B9" w:rsidP="00F85905">
            <w:pPr>
              <w:numPr>
                <w:ilvl w:val="0"/>
                <w:numId w:val="17"/>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Stolačka tarča</w:t>
            </w:r>
          </w:p>
          <w:p w:rsidR="006C69B9" w:rsidRPr="006C69B9" w:rsidRDefault="006C69B9" w:rsidP="00F85905">
            <w:pPr>
              <w:numPr>
                <w:ilvl w:val="0"/>
                <w:numId w:val="17"/>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Sajam “Hercegovački plodovi Mediterana”</w:t>
            </w:r>
          </w:p>
          <w:p w:rsidR="006C69B9" w:rsidRPr="006C69B9" w:rsidRDefault="006C69B9" w:rsidP="00F85905">
            <w:pPr>
              <w:numPr>
                <w:ilvl w:val="0"/>
                <w:numId w:val="17"/>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Slovo Gorčina</w:t>
            </w:r>
          </w:p>
          <w:p w:rsidR="006C69B9" w:rsidRPr="006C69B9" w:rsidRDefault="006C69B9" w:rsidP="00F85905">
            <w:pPr>
              <w:numPr>
                <w:ilvl w:val="0"/>
                <w:numId w:val="17"/>
              </w:numPr>
              <w:contextualSpacing/>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SMART Fest</w:t>
            </w:r>
          </w:p>
          <w:p w:rsidR="006C69B9" w:rsidRPr="006C69B9" w:rsidRDefault="006C69B9" w:rsidP="006C69B9">
            <w:pP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7.        Festival Femus</w:t>
            </w:r>
          </w:p>
        </w:tc>
      </w:tr>
    </w:tbl>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Segoe UI" w:eastAsia="Arial Unicode MS" w:hAnsi="Segoe UI" w:cs="Segoe UI"/>
          <w:color w:val="000000"/>
          <w:sz w:val="18"/>
          <w:szCs w:val="18"/>
          <w:lang w:val="bs-Latn-BA"/>
        </w:rPr>
        <w:t xml:space="preserve">     </w:t>
      </w:r>
      <w:r w:rsidRPr="006C69B9">
        <w:rPr>
          <w:rFonts w:ascii="Calibri" w:eastAsia="Calibri" w:hAnsi="Calibri" w:cs="Times New Roman"/>
          <w:b/>
          <w:i/>
          <w:sz w:val="18"/>
          <w:szCs w:val="18"/>
          <w:lang w:val="bs-Latn-BA"/>
        </w:rPr>
        <w:t>Izvor podataka: Ministarstvo obrazovanja, nauke, kulture i sporta HNŽ</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54" w:name="_Toc53350358"/>
      <w:bookmarkStart w:id="55" w:name="_Toc57573227"/>
      <w:bookmarkEnd w:id="52"/>
      <w:r w:rsidRPr="006C69B9">
        <w:rPr>
          <w:rFonts w:ascii="Calibri" w:eastAsia="Calibri" w:hAnsi="Calibri" w:cs="Times New Roman"/>
          <w:b/>
          <w:bCs/>
          <w:iCs/>
          <w:color w:val="31849B"/>
          <w:sz w:val="24"/>
          <w:szCs w:val="28"/>
          <w:lang w:eastAsia="hr-HR"/>
        </w:rPr>
        <w:t>Sport</w:t>
      </w:r>
      <w:bookmarkEnd w:id="54"/>
      <w:bookmarkEnd w:id="55"/>
    </w:p>
    <w:p w:rsidR="006C69B9" w:rsidRPr="006C69B9" w:rsidRDefault="006C69B9" w:rsidP="006C69B9">
      <w:pPr>
        <w:rPr>
          <w:rFonts w:ascii="Calibri" w:eastAsia="Calibri" w:hAnsi="Calibri" w:cs="Times New Roman"/>
          <w:lang w:eastAsia="hr-HR"/>
        </w:rPr>
      </w:pPr>
    </w:p>
    <w:p w:rsidR="006C69B9" w:rsidRPr="006C69B9" w:rsidRDefault="006C69B9" w:rsidP="006C69B9">
      <w:pPr>
        <w:jc w:val="both"/>
        <w:rPr>
          <w:rFonts w:ascii="Calibri" w:eastAsia="Calibri" w:hAnsi="Calibri" w:cs="Calibri"/>
        </w:rPr>
      </w:pPr>
      <w:r w:rsidRPr="006C69B9">
        <w:rPr>
          <w:rFonts w:ascii="Calibri" w:eastAsia="Calibri" w:hAnsi="Calibri" w:cs="Calibri"/>
        </w:rPr>
        <w:t xml:space="preserve">Na području HNŽ registrirano je 134 udruženja koja u svojoj registraciji imaju neku vrstu sportske djelatnosti, u širokom rasponu od profesionaliziranih sportskih udruženja, do amaterskih udruženja i skupina navijača. Najzastupljeniji sportovi su nogomet, košarka, rukomet, odbojka, plivanje, borilački sportovi, planinarenje, boćanje, lov, ribarski sport.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57. Popis sportskih klubova u Hercegovačko-neretvanskoj županiji</w:t>
      </w:r>
    </w:p>
    <w:tbl>
      <w:tblPr>
        <w:tblStyle w:val="GridTable5Dark-Accent51"/>
        <w:tblW w:w="9350" w:type="dxa"/>
        <w:tblLook w:val="04A0"/>
      </w:tblPr>
      <w:tblGrid>
        <w:gridCol w:w="1271"/>
        <w:gridCol w:w="5245"/>
        <w:gridCol w:w="2834"/>
      </w:tblGrid>
      <w:tr w:rsidR="00F85905" w:rsidRPr="006C69B9" w:rsidTr="006C69B9">
        <w:trPr>
          <w:cnfStyle w:val="1000000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Redni broj</w:t>
            </w:r>
          </w:p>
        </w:tc>
        <w:tc>
          <w:tcPr>
            <w:tcW w:w="5245" w:type="dxa"/>
          </w:tcPr>
          <w:p w:rsidR="006C69B9" w:rsidRPr="006C69B9" w:rsidRDefault="006C69B9" w:rsidP="006C69B9">
            <w:pPr>
              <w:cnfStyle w:val="100000000000"/>
              <w:rPr>
                <w:rFonts w:ascii="Calibri" w:eastAsia="Calibri" w:hAnsi="Calibri" w:cs="Calibri"/>
                <w:sz w:val="20"/>
                <w:szCs w:val="20"/>
              </w:rPr>
            </w:pPr>
            <w:r w:rsidRPr="006C69B9">
              <w:rPr>
                <w:rFonts w:ascii="Calibri" w:eastAsia="Calibri" w:hAnsi="Calibri" w:cs="Calibri"/>
                <w:sz w:val="20"/>
                <w:szCs w:val="20"/>
              </w:rPr>
              <w:t>Naziv kluba</w:t>
            </w:r>
          </w:p>
        </w:tc>
        <w:tc>
          <w:tcPr>
            <w:tcW w:w="2834" w:type="dxa"/>
          </w:tcPr>
          <w:p w:rsidR="006C69B9" w:rsidRPr="006C69B9" w:rsidRDefault="006C69B9" w:rsidP="006C69B9">
            <w:pPr>
              <w:cnfStyle w:val="100000000000"/>
              <w:rPr>
                <w:rFonts w:ascii="Calibri" w:eastAsia="Calibri" w:hAnsi="Calibri" w:cs="Calibri"/>
                <w:sz w:val="20"/>
                <w:szCs w:val="20"/>
              </w:rPr>
            </w:pPr>
            <w:r w:rsidRPr="006C69B9">
              <w:rPr>
                <w:rFonts w:ascii="Calibri" w:eastAsia="Calibri" w:hAnsi="Calibri" w:cs="Calibri"/>
                <w:sz w:val="20"/>
                <w:szCs w:val="20"/>
              </w:rPr>
              <w:t>Sportska grana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FK VELEŽ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HŠK ZRINJSKI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FK LOKOMOTIVA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FK BLAGAJ BLAGAJ</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HNK BRANITELJ JASENICA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FK BJELOPOLJAC BJELO POLJE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HNK BJELOPOLJAC BJELO POLJE</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HNK BUNA BUNA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FK SOKO DREŽNICA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NK CIM CIM</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MNK KARAKA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MNK MOSTARSKE KIŠE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MNK MOSTAR STARI GRAD</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MNK HERCEGOVINA RODOČ</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ZSD LIBERTAS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VELEŽ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Košarka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OKK MOSTAR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HKK ZRINJSKI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Košarka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ŽKK ZRINJSKI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OKK MOSTAR 05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Košarka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SPARSI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KOŠ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Košarka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ŽRK GALEB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Rukomet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HŽRK ZRINJSKI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Rukomet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RK VELEŽ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Rukomet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HŽRK KATARINA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Rukomet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RK LOKOMOTIVA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Rukomet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MRK ZRINJSKI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Rukomet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STUDENT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Karate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ZRINJSKI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MOSTAR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Karate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SKK NERETVA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lastRenderedPageBreak/>
              <w:t>33.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GAZIJA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Karate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BJELOPOLJAC BJELO POLJE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VELEŽ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Karate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BLAGAJ BLAGAJ</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HBK ZRINJSKI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Boks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BK MOSTAR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Boks</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DŽUDO KLUB HERCEGOVAC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Džudo</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DŽUDO KLUB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Džudo</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TEKWONDO KLUB CRO STAR- CIM</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Tekvondo</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KICK BOXING KLUB KOBRA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Kik boks</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KLUB BORILAČKIH VJEŠTINA IPPON ORTIJEŠ- MOSTAR</w:t>
            </w:r>
          </w:p>
        </w:tc>
        <w:tc>
          <w:tcPr>
            <w:tcW w:w="2834" w:type="dxa"/>
          </w:tcPr>
          <w:p w:rsidR="006C69B9" w:rsidRPr="006C69B9" w:rsidRDefault="006C69B9" w:rsidP="006C69B9">
            <w:pPr>
              <w:cnfStyle w:val="000000100000"/>
              <w:rPr>
                <w:rFonts w:ascii="Calibri" w:eastAsia="Calibri" w:hAnsi="Calibri" w:cs="Calibri"/>
                <w:sz w:val="20"/>
                <w:szCs w:val="20"/>
              </w:rPr>
            </w:pP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ŠK LUKA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Šah</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ŠK MOSTAR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Šah</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HŠK ZRINJSKI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Šah</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TK POLICAJAC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Tavla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TK MOSTAR STARI GRAD</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Tavla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TK BJELOPOLJAC BIJELO POLJE</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Tavla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TK DERBI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Tavla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TK MOSTAR STARI GRAD</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Tenis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TK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Tenis</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TK RIČINA 77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Tenis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TK VRELO RODOČ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Tenis</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STOLNOTENISKI KLUB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Tenis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PK VELEŽ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Plivanje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DRUŠTVO SPORTSKIH RIBOLOVACA NERETVA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Sportski ribolov</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KLUB SKAKAČA U VODU MOSTAR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Skokovi u vodu</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OK MOSTAR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Odbojka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OK STUDENT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 xml:space="preserve">Odbojka </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HPD PRENJ 1933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Planinarenje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PSD PRENJ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Planinarenje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AERO KLUB MOSTAR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Auto-moto</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ZRAKOPLOVNI KLUB MOSTAR</w:t>
            </w:r>
          </w:p>
        </w:tc>
        <w:tc>
          <w:tcPr>
            <w:tcW w:w="2834" w:type="dxa"/>
          </w:tcPr>
          <w:p w:rsidR="006C69B9" w:rsidRPr="006C69B9" w:rsidRDefault="006C69B9" w:rsidP="006C69B9">
            <w:pPr>
              <w:cnfStyle w:val="000000000000"/>
              <w:rPr>
                <w:rFonts w:ascii="Calibri" w:eastAsia="Calibri" w:hAnsi="Calibri" w:cs="Calibri"/>
                <w:sz w:val="20"/>
                <w:szCs w:val="20"/>
              </w:rPr>
            </w:pP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MOTO KLUB NERETVA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Auto-moto</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ŠPK ROMANTIK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Sportski ples</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PK RONDO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Sportski ples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AK VELEŽ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Atletika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ZRINJSKI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Kuglanje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ŠD GLUHIH I NAGLUHIH NERETVA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Sportovi za gluhe i nagluhe osobe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BK ANTE ROZIĆ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Boćanje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UNIVERZALNA ŠKOLA SPORTA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Sportska rekreacija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SK BLIDINJE ČVRSNICA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Skijanje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KSD MOSTARSKE MAŽORETKINJE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Sportski ples</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KSD ORTIJEŠ- MNK ORTIJEŠ</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Sportska rekreacija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MEĐUŽUPNA LIGA HERCEGOVINE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UDRUŽENJE ZA SPORT I REKREACIJU RVI STARI GRAD</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Sportska rekreacija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SD INVALIDNIH OSOBA NERETVA MOSTAR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Sportska rekreacija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SD MEDICINAR MOSTAR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Sportska rekreacija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000000"/>
              <w:rPr>
                <w:rFonts w:ascii="Calibri" w:eastAsia="Calibri" w:hAnsi="Calibri" w:cs="Calibri"/>
                <w:b/>
                <w:sz w:val="20"/>
                <w:szCs w:val="20"/>
              </w:rPr>
            </w:pPr>
            <w:r w:rsidRPr="006C69B9">
              <w:rPr>
                <w:rFonts w:ascii="Calibri" w:eastAsia="Calibri" w:hAnsi="Calibri" w:cs="Calibri"/>
                <w:b/>
                <w:sz w:val="20"/>
                <w:szCs w:val="20"/>
              </w:rPr>
              <w:t>OPĆINA ČITLUK</w:t>
            </w:r>
          </w:p>
        </w:tc>
        <w:tc>
          <w:tcPr>
            <w:tcW w:w="2834" w:type="dxa"/>
          </w:tcPr>
          <w:p w:rsidR="006C69B9" w:rsidRPr="006C69B9" w:rsidRDefault="006C69B9" w:rsidP="006C69B9">
            <w:pPr>
              <w:cnfStyle w:val="000000000000"/>
              <w:rPr>
                <w:rFonts w:ascii="Calibri" w:eastAsia="Calibri" w:hAnsi="Calibri" w:cs="Calibri"/>
                <w:sz w:val="20"/>
                <w:szCs w:val="20"/>
              </w:rPr>
            </w:pP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AK BROTNJO</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Atletika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BK HRVATSKI RADIŠA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Boćanje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HKK BROTNJO</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HRK MEĐUGORJE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Rukomet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HERCEGOVAC</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Karate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MEĐUGORJE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BROTNJO-ČITLUK</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Kuglanje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8.</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MEĐUGORJE BROTNJO ČITLUK</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Kuglanje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lastRenderedPageBreak/>
              <w:t>9.</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NK BROTNJO</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10.</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NK MEĐUGORJE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STONOTENISKI KLUB BROTNJO</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Stolni tenis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ŠAHOVSKI KLUB BROTNJO</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Šah</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TENISKI KLUB MEĐUGORJE</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Tenis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ŽHKK BROTNJO 94</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Košarka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100000"/>
              <w:rPr>
                <w:rFonts w:ascii="Calibri" w:eastAsia="Calibri" w:hAnsi="Calibri" w:cs="Calibri"/>
                <w:b/>
                <w:sz w:val="20"/>
                <w:szCs w:val="20"/>
              </w:rPr>
            </w:pPr>
            <w:r w:rsidRPr="006C69B9">
              <w:rPr>
                <w:rFonts w:ascii="Calibri" w:eastAsia="Calibri" w:hAnsi="Calibri" w:cs="Calibri"/>
                <w:b/>
                <w:sz w:val="20"/>
                <w:szCs w:val="20"/>
              </w:rPr>
              <w:t>OPĆINA JABLANICA</w:t>
            </w:r>
          </w:p>
        </w:tc>
        <w:tc>
          <w:tcPr>
            <w:tcW w:w="2834" w:type="dxa"/>
          </w:tcPr>
          <w:p w:rsidR="006C69B9" w:rsidRPr="006C69B9" w:rsidRDefault="006C69B9" w:rsidP="006C69B9">
            <w:pPr>
              <w:cnfStyle w:val="000000100000"/>
              <w:rPr>
                <w:rFonts w:ascii="Calibri" w:eastAsia="Calibri" w:hAnsi="Calibri" w:cs="Calibri"/>
                <w:sz w:val="20"/>
                <w:szCs w:val="20"/>
              </w:rPr>
            </w:pP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FK TURBINA JABLANICA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Fudbal</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TURBINA JABLANICA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JABLANICA GRANIT</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Košarka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ŽRK TURBINA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Rukomet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PLANINARSKO-SMUČARSKO DRUŠTVO VILINAC</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Planinarstvo</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PLANINARSKO DRUŠTVO PLASA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Planinarstvo</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TAVLA KLUB JABLANICA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Misaone igre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8</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JABLANICA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Karate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9</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GAZIJA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 xml:space="preserve">Karate </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10</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AUTO-MOTO KLUB SUNCE</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Auto-moto</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11</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ŠK GRANIT</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Šah</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100000"/>
              <w:rPr>
                <w:rFonts w:ascii="Calibri" w:eastAsia="Calibri" w:hAnsi="Calibri" w:cs="Calibri"/>
                <w:b/>
                <w:sz w:val="20"/>
                <w:szCs w:val="20"/>
              </w:rPr>
            </w:pPr>
            <w:r w:rsidRPr="006C69B9">
              <w:rPr>
                <w:rFonts w:ascii="Calibri" w:eastAsia="Calibri" w:hAnsi="Calibri" w:cs="Calibri"/>
                <w:b/>
                <w:sz w:val="20"/>
                <w:szCs w:val="20"/>
              </w:rPr>
              <w:t>OPĆINA ČAPLJINA</w:t>
            </w:r>
          </w:p>
        </w:tc>
        <w:tc>
          <w:tcPr>
            <w:tcW w:w="2834" w:type="dxa"/>
          </w:tcPr>
          <w:p w:rsidR="006C69B9" w:rsidRPr="006C69B9" w:rsidRDefault="006C69B9" w:rsidP="006C69B9">
            <w:pPr>
              <w:cnfStyle w:val="000000100000"/>
              <w:rPr>
                <w:rFonts w:ascii="Calibri" w:eastAsia="Calibri" w:hAnsi="Calibri" w:cs="Calibri"/>
                <w:sz w:val="20"/>
                <w:szCs w:val="20"/>
              </w:rPr>
            </w:pP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HNK ČAPLJINA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Boćanje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HŠK MATE BOBAN</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 xml:space="preserve">Šah </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HNK LIPANJSKE ZORE</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 xml:space="preserve">Nogomet </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BOĆARSKI KLUB DRAČEVO</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Boćanje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NK GOŠK</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6</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HKK ČAPLJINA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 xml:space="preserve">Košarka </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7</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KK ČAPLJINA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8</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HRK ČAPLJINA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Rukomet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9</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HNK CROATIA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10</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LOVAČKO DRUŠTVO GALEB</w:t>
            </w:r>
          </w:p>
        </w:tc>
        <w:tc>
          <w:tcPr>
            <w:tcW w:w="2834" w:type="dxa"/>
          </w:tcPr>
          <w:p w:rsidR="006C69B9" w:rsidRPr="006C69B9" w:rsidRDefault="006C69B9" w:rsidP="006C69B9">
            <w:pPr>
              <w:cnfStyle w:val="000000100000"/>
              <w:rPr>
                <w:rFonts w:ascii="Calibri" w:eastAsia="Calibri" w:hAnsi="Calibri" w:cs="Calibri"/>
                <w:sz w:val="20"/>
                <w:szCs w:val="20"/>
              </w:rPr>
            </w:pP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11</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NK NERETVA ČELJEVO</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Nogomet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12</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NK SLOBODA TREBIŽAT</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13</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FULL KONTAKT SENSEI ČAPLJINA</w:t>
            </w:r>
          </w:p>
        </w:tc>
        <w:tc>
          <w:tcPr>
            <w:tcW w:w="2834" w:type="dxa"/>
          </w:tcPr>
          <w:p w:rsidR="006C69B9" w:rsidRPr="006C69B9" w:rsidRDefault="006C69B9" w:rsidP="006C69B9">
            <w:pPr>
              <w:cnfStyle w:val="000000000000"/>
              <w:rPr>
                <w:rFonts w:ascii="Calibri" w:eastAsia="Calibri" w:hAnsi="Calibri" w:cs="Calibri"/>
                <w:sz w:val="20"/>
                <w:szCs w:val="20"/>
              </w:rPr>
            </w:pP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14</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HOK ČAPLJINA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Odbojka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15</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KINOLOŠKO DRUŠTVO ČAPLJINA</w:t>
            </w:r>
          </w:p>
        </w:tc>
        <w:tc>
          <w:tcPr>
            <w:tcW w:w="2834" w:type="dxa"/>
          </w:tcPr>
          <w:p w:rsidR="006C69B9" w:rsidRPr="006C69B9" w:rsidRDefault="006C69B9" w:rsidP="006C69B9">
            <w:pPr>
              <w:cnfStyle w:val="000000000000"/>
              <w:rPr>
                <w:rFonts w:ascii="Calibri" w:eastAsia="Calibri" w:hAnsi="Calibri" w:cs="Calibri"/>
                <w:sz w:val="20"/>
                <w:szCs w:val="20"/>
              </w:rPr>
            </w:pP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16</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KONJIČKI KLUB VRANAC</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Konjički sport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000000"/>
              <w:rPr>
                <w:rFonts w:ascii="Calibri" w:eastAsia="Calibri" w:hAnsi="Calibri" w:cs="Calibri"/>
                <w:b/>
                <w:sz w:val="20"/>
                <w:szCs w:val="20"/>
              </w:rPr>
            </w:pPr>
            <w:r w:rsidRPr="006C69B9">
              <w:rPr>
                <w:rFonts w:ascii="Calibri" w:eastAsia="Calibri" w:hAnsi="Calibri" w:cs="Calibri"/>
                <w:b/>
                <w:sz w:val="20"/>
                <w:szCs w:val="20"/>
              </w:rPr>
              <w:t>OPĆINA KONJIC</w:t>
            </w:r>
          </w:p>
        </w:tc>
        <w:tc>
          <w:tcPr>
            <w:tcW w:w="2834" w:type="dxa"/>
          </w:tcPr>
          <w:p w:rsidR="006C69B9" w:rsidRPr="006C69B9" w:rsidRDefault="006C69B9" w:rsidP="006C69B9">
            <w:pPr>
              <w:cnfStyle w:val="000000000000"/>
              <w:rPr>
                <w:rFonts w:ascii="Calibri" w:eastAsia="Calibri" w:hAnsi="Calibri" w:cs="Calibri"/>
                <w:sz w:val="20"/>
                <w:szCs w:val="20"/>
              </w:rPr>
            </w:pP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KK BOŠNJAK KONJIC</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Karate</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FK IGMAN KONJIC</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Fudbal</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KOŠARKAŠKI KLUB KONJIC</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SPORTSKO DRUŠTVO LISIČIĆ KONJIC</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Sportska rekreacija</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100000"/>
              <w:rPr>
                <w:rFonts w:ascii="Calibri" w:eastAsia="Calibri" w:hAnsi="Calibri" w:cs="Calibri"/>
                <w:b/>
                <w:sz w:val="20"/>
                <w:szCs w:val="20"/>
              </w:rPr>
            </w:pPr>
            <w:r w:rsidRPr="006C69B9">
              <w:rPr>
                <w:rFonts w:ascii="Calibri" w:eastAsia="Calibri" w:hAnsi="Calibri" w:cs="Calibri"/>
                <w:b/>
                <w:sz w:val="20"/>
                <w:szCs w:val="20"/>
              </w:rPr>
              <w:t>OPĆINA NEUM</w:t>
            </w:r>
          </w:p>
        </w:tc>
        <w:tc>
          <w:tcPr>
            <w:tcW w:w="2834" w:type="dxa"/>
          </w:tcPr>
          <w:p w:rsidR="006C69B9" w:rsidRPr="006C69B9" w:rsidRDefault="006C69B9" w:rsidP="006C69B9">
            <w:pPr>
              <w:cnfStyle w:val="000000100000"/>
              <w:rPr>
                <w:rFonts w:ascii="Calibri" w:eastAsia="Calibri" w:hAnsi="Calibri" w:cs="Calibri"/>
                <w:sz w:val="20"/>
                <w:szCs w:val="20"/>
              </w:rPr>
            </w:pP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HRVATSKI VATERPOLSKI KLUB NEUM</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Vaterpolo</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HRVATSKI KOŠARKAŠKI KLUB NEUM</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000000"/>
              <w:rPr>
                <w:rFonts w:ascii="Calibri" w:eastAsia="Calibri" w:hAnsi="Calibri" w:cs="Calibri"/>
                <w:b/>
                <w:sz w:val="20"/>
                <w:szCs w:val="20"/>
              </w:rPr>
            </w:pPr>
            <w:r w:rsidRPr="006C69B9">
              <w:rPr>
                <w:rFonts w:ascii="Calibri" w:eastAsia="Calibri" w:hAnsi="Calibri" w:cs="Calibri"/>
                <w:b/>
                <w:sz w:val="20"/>
                <w:szCs w:val="20"/>
              </w:rPr>
              <w:t>OPĆINA STOLAC</w:t>
            </w:r>
          </w:p>
        </w:tc>
        <w:tc>
          <w:tcPr>
            <w:tcW w:w="2834" w:type="dxa"/>
          </w:tcPr>
          <w:p w:rsidR="006C69B9" w:rsidRPr="006C69B9" w:rsidRDefault="006C69B9" w:rsidP="006C69B9">
            <w:pPr>
              <w:cnfStyle w:val="000000000000"/>
              <w:rPr>
                <w:rFonts w:ascii="Calibri" w:eastAsia="Calibri" w:hAnsi="Calibri" w:cs="Calibri"/>
                <w:sz w:val="20"/>
                <w:szCs w:val="20"/>
              </w:rPr>
            </w:pP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FUDBALSKI KLUB BREGAVA STOLAC</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Fudbal</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ŽENSKI RUKOMETNI KLUB ISKRA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Rukomet</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KOŠARKAŠKI KLUB ISKRA STOLAC</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Košarka</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000000"/>
              <w:rPr>
                <w:rFonts w:ascii="Calibri" w:eastAsia="Calibri" w:hAnsi="Calibri" w:cs="Calibri"/>
                <w:b/>
                <w:sz w:val="20"/>
                <w:szCs w:val="20"/>
              </w:rPr>
            </w:pPr>
            <w:r w:rsidRPr="006C69B9">
              <w:rPr>
                <w:rFonts w:ascii="Calibri" w:eastAsia="Calibri" w:hAnsi="Calibri" w:cs="Calibri"/>
                <w:b/>
                <w:sz w:val="20"/>
                <w:szCs w:val="20"/>
              </w:rPr>
              <w:t>OPĆINA PROZOR RAMA</w:t>
            </w:r>
          </w:p>
        </w:tc>
        <w:tc>
          <w:tcPr>
            <w:tcW w:w="2834" w:type="dxa"/>
          </w:tcPr>
          <w:p w:rsidR="006C69B9" w:rsidRPr="006C69B9" w:rsidRDefault="006C69B9" w:rsidP="006C69B9">
            <w:pPr>
              <w:cnfStyle w:val="000000000000"/>
              <w:rPr>
                <w:rFonts w:ascii="Calibri" w:eastAsia="Calibri" w:hAnsi="Calibri" w:cs="Calibri"/>
                <w:sz w:val="20"/>
                <w:szCs w:val="20"/>
              </w:rPr>
            </w:pP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1</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HRVATSKI NOGOMETNI KLUB RAMA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Nogomet</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2</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 KLUB EMPI PROZOR</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Karate</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3</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STOLNOTENISKI KLUB AMATERI PROZOR</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Tenis</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4</w:t>
            </w:r>
          </w:p>
        </w:tc>
        <w:tc>
          <w:tcPr>
            <w:tcW w:w="5245"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ŠAHOVSKI KLUB RAMA</w:t>
            </w:r>
          </w:p>
        </w:tc>
        <w:tc>
          <w:tcPr>
            <w:tcW w:w="2834" w:type="dxa"/>
          </w:tcPr>
          <w:p w:rsidR="006C69B9" w:rsidRPr="006C69B9" w:rsidRDefault="006C69B9" w:rsidP="006C69B9">
            <w:pPr>
              <w:cnfStyle w:val="000000000000"/>
              <w:rPr>
                <w:rFonts w:ascii="Calibri" w:eastAsia="Calibri" w:hAnsi="Calibri" w:cs="Calibri"/>
                <w:sz w:val="20"/>
                <w:szCs w:val="20"/>
              </w:rPr>
            </w:pPr>
            <w:r w:rsidRPr="006C69B9">
              <w:rPr>
                <w:rFonts w:ascii="Calibri" w:eastAsia="Calibri" w:hAnsi="Calibri" w:cs="Calibri"/>
                <w:sz w:val="20"/>
                <w:szCs w:val="20"/>
              </w:rPr>
              <w:t xml:space="preserve">Šah </w:t>
            </w:r>
          </w:p>
        </w:tc>
      </w:tr>
      <w:tr w:rsidR="00F85905" w:rsidRPr="006C69B9" w:rsidTr="006C69B9">
        <w:trPr>
          <w:cnfStyle w:val="000000100000"/>
        </w:trPr>
        <w:tc>
          <w:tcPr>
            <w:cnfStyle w:val="001000000000"/>
            <w:tcW w:w="1271" w:type="dxa"/>
          </w:tcPr>
          <w:p w:rsidR="006C69B9" w:rsidRPr="006C69B9" w:rsidRDefault="006C69B9" w:rsidP="006C69B9">
            <w:pPr>
              <w:rPr>
                <w:rFonts w:ascii="Calibri" w:eastAsia="Calibri" w:hAnsi="Calibri" w:cs="Calibri"/>
                <w:sz w:val="20"/>
                <w:szCs w:val="20"/>
              </w:rPr>
            </w:pPr>
            <w:r w:rsidRPr="006C69B9">
              <w:rPr>
                <w:rFonts w:ascii="Calibri" w:eastAsia="Calibri" w:hAnsi="Calibri" w:cs="Calibri"/>
                <w:sz w:val="20"/>
                <w:szCs w:val="20"/>
              </w:rPr>
              <w:t>5</w:t>
            </w:r>
          </w:p>
        </w:tc>
        <w:tc>
          <w:tcPr>
            <w:tcW w:w="5245"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AUTO-MOTO KLUB RAMA</w:t>
            </w:r>
          </w:p>
        </w:tc>
        <w:tc>
          <w:tcPr>
            <w:tcW w:w="2834" w:type="dxa"/>
          </w:tcPr>
          <w:p w:rsidR="006C69B9" w:rsidRPr="006C69B9" w:rsidRDefault="006C69B9" w:rsidP="006C69B9">
            <w:pPr>
              <w:cnfStyle w:val="000000100000"/>
              <w:rPr>
                <w:rFonts w:ascii="Calibri" w:eastAsia="Calibri" w:hAnsi="Calibri" w:cs="Calibri"/>
                <w:sz w:val="20"/>
                <w:szCs w:val="20"/>
              </w:rPr>
            </w:pPr>
            <w:r w:rsidRPr="006C69B9">
              <w:rPr>
                <w:rFonts w:ascii="Calibri" w:eastAsia="Calibri" w:hAnsi="Calibri" w:cs="Calibri"/>
                <w:sz w:val="20"/>
                <w:szCs w:val="20"/>
              </w:rPr>
              <w:t>Auto-moto</w:t>
            </w:r>
          </w:p>
        </w:tc>
      </w:tr>
      <w:tr w:rsidR="006C69B9" w:rsidRPr="006C69B9" w:rsidTr="006C69B9">
        <w:tc>
          <w:tcPr>
            <w:cnfStyle w:val="001000000000"/>
            <w:tcW w:w="1271" w:type="dxa"/>
            <w:shd w:val="clear" w:color="auto" w:fill="DAEEF3"/>
          </w:tcPr>
          <w:p w:rsidR="006C69B9" w:rsidRPr="006C69B9" w:rsidRDefault="006C69B9" w:rsidP="006C69B9">
            <w:pPr>
              <w:rPr>
                <w:rFonts w:ascii="Calibri" w:eastAsia="Calibri" w:hAnsi="Calibri" w:cs="Calibri"/>
                <w:sz w:val="20"/>
                <w:szCs w:val="20"/>
              </w:rPr>
            </w:pPr>
          </w:p>
        </w:tc>
        <w:tc>
          <w:tcPr>
            <w:tcW w:w="5245" w:type="dxa"/>
          </w:tcPr>
          <w:p w:rsidR="006C69B9" w:rsidRPr="006C69B9" w:rsidRDefault="006C69B9" w:rsidP="006C69B9">
            <w:pPr>
              <w:cnfStyle w:val="000000000000"/>
              <w:rPr>
                <w:rFonts w:ascii="Calibri" w:eastAsia="Calibri" w:hAnsi="Calibri" w:cs="Calibri"/>
                <w:sz w:val="20"/>
                <w:szCs w:val="20"/>
              </w:rPr>
            </w:pPr>
          </w:p>
        </w:tc>
        <w:tc>
          <w:tcPr>
            <w:tcW w:w="2834" w:type="dxa"/>
          </w:tcPr>
          <w:p w:rsidR="006C69B9" w:rsidRPr="006C69B9" w:rsidRDefault="006C69B9" w:rsidP="006C69B9">
            <w:pPr>
              <w:cnfStyle w:val="000000000000"/>
              <w:rPr>
                <w:rFonts w:ascii="Calibri" w:eastAsia="Calibri" w:hAnsi="Calibri" w:cs="Calibri"/>
                <w:sz w:val="20"/>
                <w:szCs w:val="20"/>
              </w:rPr>
            </w:pPr>
          </w:p>
        </w:tc>
      </w:tr>
    </w:tbl>
    <w:p w:rsidR="006C69B9" w:rsidRPr="006C69B9" w:rsidRDefault="006C69B9" w:rsidP="006C69B9">
      <w:pPr>
        <w:shd w:val="clear" w:color="auto" w:fill="FFFFFF"/>
        <w:spacing w:after="0" w:line="276" w:lineRule="auto"/>
        <w:ind w:firstLine="260"/>
        <w:jc w:val="center"/>
        <w:rPr>
          <w:rFonts w:ascii="Calibri" w:eastAsia="Calibri" w:hAnsi="Calibri" w:cs="Calibri"/>
          <w:b/>
        </w:rPr>
      </w:pPr>
      <w:r w:rsidRPr="006C69B9">
        <w:rPr>
          <w:rFonts w:ascii="Segoe UI" w:eastAsia="Arial Unicode MS" w:hAnsi="Segoe UI" w:cs="Segoe UI"/>
          <w:color w:val="000000"/>
          <w:sz w:val="18"/>
          <w:szCs w:val="18"/>
          <w:lang w:val="bs-Latn-BA"/>
        </w:rPr>
        <w:t xml:space="preserve">     </w:t>
      </w:r>
      <w:r w:rsidRPr="006C69B9">
        <w:rPr>
          <w:rFonts w:ascii="Calibri" w:eastAsia="Calibri" w:hAnsi="Calibri" w:cs="Times New Roman"/>
          <w:b/>
          <w:i/>
          <w:sz w:val="18"/>
          <w:szCs w:val="18"/>
          <w:lang w:val="bs-Latn-BA"/>
        </w:rPr>
        <w:t>Izvor podataka: Ministarstvo obrazovanja, nauke, kulture i sporta HNŽ</w:t>
      </w:r>
    </w:p>
    <w:p w:rsidR="006C69B9" w:rsidRPr="006C69B9" w:rsidRDefault="006C69B9" w:rsidP="006C69B9">
      <w:pPr>
        <w:jc w:val="both"/>
        <w:rPr>
          <w:rFonts w:ascii="Calibri" w:eastAsia="Calibri" w:hAnsi="Calibri" w:cs="Calibri"/>
        </w:rPr>
      </w:pPr>
      <w:r w:rsidRPr="006C69B9">
        <w:rPr>
          <w:rFonts w:ascii="Calibri" w:eastAsia="Calibri" w:hAnsi="Calibri" w:cs="Calibri"/>
        </w:rPr>
        <w:t xml:space="preserve">Stanje sportske infrastrukture na području HNŽ, u svim oblastima sporta, u većini slučajeva ne zadovoljava međunarodne i europske standarde. Najznačajniji problemi u oblasti sporta su: </w:t>
      </w:r>
      <w:r w:rsidRPr="006C69B9">
        <w:rPr>
          <w:rFonts w:ascii="Calibri" w:eastAsia="Calibri" w:hAnsi="Calibri" w:cs="Calibri"/>
        </w:rPr>
        <w:lastRenderedPageBreak/>
        <w:t>neodgovarajuća zakonodavna regulativa u domenu sporta (sportski klubovi kao udruženja građana), nedefiniranost državnog i privatnog udjela u osnivačkim pravima, nedovoljno kvalitetan sportski menadžment na razini sportskih klubova, nedovoljna finansijska sredstva za razvoj sporta, nepostojanje planskog pristupa razvoju masovnog sporta u osnovnim i srednjim školama.</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56" w:name="_Toc459649306"/>
      <w:bookmarkStart w:id="57" w:name="_Toc459650982"/>
      <w:bookmarkStart w:id="58" w:name="_Toc459668003"/>
      <w:bookmarkStart w:id="59" w:name="_Toc459668099"/>
      <w:bookmarkStart w:id="60" w:name="_Toc459668287"/>
      <w:bookmarkStart w:id="61" w:name="_Toc468043300"/>
      <w:bookmarkStart w:id="62" w:name="_Toc469295965"/>
      <w:bookmarkStart w:id="63" w:name="_Toc53350359"/>
      <w:bookmarkStart w:id="64" w:name="_Toc57573228"/>
      <w:bookmarkStart w:id="65" w:name="Zdravstvenazaštita"/>
      <w:r w:rsidRPr="006C69B9">
        <w:rPr>
          <w:rFonts w:ascii="Calibri" w:eastAsia="Calibri" w:hAnsi="Calibri" w:cs="Times New Roman"/>
          <w:b/>
          <w:bCs/>
          <w:iCs/>
          <w:color w:val="31849B"/>
          <w:sz w:val="24"/>
          <w:szCs w:val="28"/>
          <w:lang w:eastAsia="hr-HR"/>
        </w:rPr>
        <w:t>Zdravstv</w:t>
      </w:r>
      <w:bookmarkEnd w:id="56"/>
      <w:bookmarkEnd w:id="57"/>
      <w:bookmarkEnd w:id="58"/>
      <w:bookmarkEnd w:id="59"/>
      <w:bookmarkEnd w:id="60"/>
      <w:bookmarkEnd w:id="61"/>
      <w:bookmarkEnd w:id="62"/>
      <w:r w:rsidRPr="006C69B9">
        <w:rPr>
          <w:rFonts w:ascii="Calibri" w:eastAsia="Calibri" w:hAnsi="Calibri" w:cs="Times New Roman"/>
          <w:b/>
          <w:bCs/>
          <w:iCs/>
          <w:color w:val="31849B"/>
          <w:sz w:val="24"/>
          <w:szCs w:val="28"/>
          <w:lang w:eastAsia="hr-HR"/>
        </w:rPr>
        <w:t>o</w:t>
      </w:r>
      <w:bookmarkEnd w:id="63"/>
      <w:bookmarkEnd w:id="64"/>
    </w:p>
    <w:bookmarkEnd w:id="65"/>
    <w:p w:rsidR="006C69B9" w:rsidRPr="006C69B9" w:rsidRDefault="006C69B9" w:rsidP="006C69B9">
      <w:pPr>
        <w:widowControl w:val="0"/>
        <w:autoSpaceDE w:val="0"/>
        <w:autoSpaceDN w:val="0"/>
        <w:adjustRightInd w:val="0"/>
        <w:spacing w:before="120" w:after="120" w:line="276" w:lineRule="auto"/>
        <w:jc w:val="both"/>
        <w:rPr>
          <w:rFonts w:ascii="Calibri" w:eastAsia="Calibri" w:hAnsi="Calibri" w:cs="Calibri"/>
        </w:rPr>
      </w:pPr>
      <w:r w:rsidRPr="006C69B9">
        <w:rPr>
          <w:rFonts w:ascii="Calibri" w:eastAsia="Calibri" w:hAnsi="Calibri" w:cs="Calibri"/>
        </w:rPr>
        <w:t xml:space="preserve">Zdravstvene usluge na području Hercegovačko-neretvanske županije obuhvaćaju cjelovitu primarnu i sekundarnu (bolničku) zdravstvenu zaštitu, a jednim dijelom i tercijarnu zdravstvenu zaštitu. </w:t>
      </w:r>
    </w:p>
    <w:p w:rsidR="006C69B9" w:rsidRPr="006C69B9" w:rsidRDefault="006C69B9" w:rsidP="006C69B9">
      <w:pPr>
        <w:spacing w:line="276" w:lineRule="auto"/>
        <w:jc w:val="both"/>
        <w:rPr>
          <w:rFonts w:ascii="Calibri" w:eastAsia="Calibri" w:hAnsi="Calibri" w:cs="Calibri"/>
        </w:rPr>
      </w:pPr>
      <w:r w:rsidRPr="006C69B9">
        <w:rPr>
          <w:rFonts w:ascii="Calibri" w:eastAsia="Calibri" w:hAnsi="Calibri" w:cs="Calibri"/>
        </w:rPr>
        <w:t xml:space="preserve">Zdravstvena zaštita obavlja se u 12 domova zdravlja, </w:t>
      </w:r>
      <w:r w:rsidRPr="006C69B9">
        <w:rPr>
          <w:rFonts w:ascii="Calibri" w:eastAsia="Calibri" w:hAnsi="Calibri" w:cs="Calibri"/>
          <w:sz w:val="20"/>
          <w:szCs w:val="20"/>
          <w:lang w:val="hr-BA"/>
        </w:rPr>
        <w:t>62 ambulante obiteljske medicine i</w:t>
      </w:r>
      <w:r w:rsidRPr="006C69B9">
        <w:rPr>
          <w:rFonts w:ascii="Times New Roman" w:eastAsia="Calibri" w:hAnsi="Times New Roman" w:cs="Times New Roman"/>
          <w:sz w:val="24"/>
          <w:szCs w:val="24"/>
          <w:lang w:val="hr-BA"/>
        </w:rPr>
        <w:t xml:space="preserve"> </w:t>
      </w:r>
      <w:r w:rsidRPr="006C69B9">
        <w:rPr>
          <w:rFonts w:ascii="Calibri" w:eastAsia="Calibri" w:hAnsi="Calibri" w:cs="Calibri"/>
        </w:rPr>
        <w:t>tri bolnice (dvije u Mostaru i jedna u Konjicu), od kojih je jedna bolnica sveučilišna klinička bolnica</w:t>
      </w:r>
      <w:r w:rsidRPr="006C69B9">
        <w:rPr>
          <w:rFonts w:ascii="Calibri" w:eastAsia="Calibri" w:hAnsi="Calibri" w:cs="Calibri"/>
          <w:vertAlign w:val="superscript"/>
          <w:lang w:val="bs-Latn-BA"/>
        </w:rPr>
        <w:footnoteReference w:id="5"/>
      </w:r>
      <w:r w:rsidRPr="006C69B9">
        <w:rPr>
          <w:rFonts w:ascii="Calibri" w:eastAsia="Calibri" w:hAnsi="Calibri" w:cs="Calibri"/>
        </w:rPr>
        <w:t xml:space="preserve">. Urgentna zdravstvena zaštita osigurava se i posredstvom 12 hitnih pomoći. Prisutan je i manji broj privatnih zdravstvenih ordinacija i ustanova, s tim da je još uvijek dominantna zdravstvena zaštita u društvenom vlasništvu. U okviru zdravstvenih institucija primarne i bolničke zdravstvene zaštite, osiguranici mogu dobiti zdravstvene usluge dijagnostike, liječenja, usluge konsultativno-specijalističke zdravstvene zaštite, zdravstvene usluge bolničkog liječenja i ostale zdravstvene usluge primarnog i sekundarnog nivoa, a dijelom i usluge tercijarnog nivoa u okviru sveučilišne kliničke bolnice. Broj kreveta u bolničkim kapacitetima je 1.048. Iako zdravstvene ustanove raspolažu sa određenim brojem kvalitetne i savremene medicinske opreme, prisutan je problem dotrajale i zastarjele opreme. Finansijske poteškoće uzrok su nedovoljne materijalno-tehničke opremljenosti većine zdravstvenih ustanova, te nedovoljnog broja educiranih zdravstvenih radnika i sve češće fluktuacije zdravstvenih radnika. </w:t>
      </w:r>
    </w:p>
    <w:p w:rsidR="006C69B9" w:rsidRPr="006C69B9" w:rsidRDefault="006C69B9" w:rsidP="006C69B9">
      <w:pPr>
        <w:widowControl w:val="0"/>
        <w:autoSpaceDE w:val="0"/>
        <w:autoSpaceDN w:val="0"/>
        <w:adjustRightInd w:val="0"/>
        <w:spacing w:before="120" w:after="120" w:line="276" w:lineRule="auto"/>
        <w:jc w:val="both"/>
        <w:rPr>
          <w:rFonts w:ascii="Calibri" w:eastAsia="Calibri" w:hAnsi="Calibri" w:cs="Calibri"/>
        </w:rPr>
      </w:pPr>
      <w:r w:rsidRPr="006C69B9">
        <w:rPr>
          <w:rFonts w:ascii="Calibri" w:eastAsia="Calibri" w:hAnsi="Calibri" w:cs="Calibri"/>
        </w:rPr>
        <w:t xml:space="preserve">Rješenje pitanja educiranosti i osiguranja zdravstvenih radnika vidi se u postojanju Medicinskog fakulteta i Fakulteta visokih zdravstvenih studija te dvije srednje medicinske škole u Mostaru i jedna u Konjicu. Također, županijski Zavod zdravstvenog osiguranja (ZZO) provodi politiku razvoja i unaprjeđenja zdravstvene zaštite.  </w:t>
      </w:r>
    </w:p>
    <w:p w:rsidR="006C69B9" w:rsidRPr="006C69B9" w:rsidRDefault="006C69B9" w:rsidP="006C69B9">
      <w:pPr>
        <w:widowControl w:val="0"/>
        <w:autoSpaceDE w:val="0"/>
        <w:autoSpaceDN w:val="0"/>
        <w:adjustRightInd w:val="0"/>
        <w:spacing w:before="120" w:after="120" w:line="276" w:lineRule="auto"/>
        <w:jc w:val="both"/>
        <w:rPr>
          <w:rFonts w:ascii="Calibri" w:eastAsia="Calibri" w:hAnsi="Calibri" w:cs="Calibri"/>
        </w:rPr>
      </w:pPr>
      <w:r w:rsidRPr="006C69B9">
        <w:rPr>
          <w:rFonts w:ascii="Calibri" w:eastAsia="Calibri" w:hAnsi="Calibri" w:cs="Calibri"/>
        </w:rPr>
        <w:t xml:space="preserve">Ukoliko se posmatra farmaceutska djelatnost zasebno, u okviru HNŽ postoje tri javne apoteke i znatno veći broj privatnih apoteka (16 različtih vlasnika većeg broj privatnih apoteka). </w:t>
      </w:r>
    </w:p>
    <w:p w:rsidR="006C69B9" w:rsidRPr="006C69B9" w:rsidRDefault="006C69B9" w:rsidP="006C69B9">
      <w:pPr>
        <w:widowControl w:val="0"/>
        <w:autoSpaceDE w:val="0"/>
        <w:autoSpaceDN w:val="0"/>
        <w:adjustRightInd w:val="0"/>
        <w:spacing w:line="276" w:lineRule="auto"/>
        <w:jc w:val="both"/>
        <w:rPr>
          <w:rFonts w:ascii="Calibri" w:eastAsia="Calibri" w:hAnsi="Calibri" w:cs="Calibri"/>
          <w:lang w:val="hr-BA"/>
        </w:rPr>
      </w:pPr>
      <w:r w:rsidRPr="006C69B9">
        <w:rPr>
          <w:rFonts w:ascii="Calibri" w:eastAsia="Calibri" w:hAnsi="Calibri" w:cs="Calibri"/>
          <w:lang w:val="hr-BA"/>
        </w:rPr>
        <w:t xml:space="preserve">Više od 85% stanovništva u Županiji obuhvaćeno je zdravstvenom zaštitom. U Županiji postoji pet privatnih medicinskih i dvije stomatološke poliklinike, dva biokemijska laboratorija, veći broj ordinacija privatne prakse, ali su još uvijek dominantne javne zdravstvene institucije primarne i bolničke zdravstvene zaštite. </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66" w:name="_Toc459649307"/>
      <w:bookmarkStart w:id="67" w:name="_Toc459650983"/>
      <w:bookmarkStart w:id="68" w:name="_Toc459668004"/>
      <w:bookmarkStart w:id="69" w:name="_Toc459668100"/>
      <w:bookmarkStart w:id="70" w:name="_Toc459668288"/>
      <w:bookmarkStart w:id="71" w:name="_Toc468043301"/>
      <w:bookmarkStart w:id="72" w:name="_Toc469295966"/>
      <w:bookmarkStart w:id="73" w:name="_Toc53350360"/>
      <w:bookmarkStart w:id="74" w:name="_Toc57573229"/>
      <w:bookmarkStart w:id="75" w:name="Socijalnazaštita"/>
      <w:r w:rsidRPr="006C69B9">
        <w:rPr>
          <w:rFonts w:ascii="Calibri" w:eastAsia="Calibri" w:hAnsi="Calibri" w:cs="Times New Roman"/>
          <w:b/>
          <w:bCs/>
          <w:iCs/>
          <w:color w:val="31849B"/>
          <w:sz w:val="24"/>
          <w:szCs w:val="28"/>
          <w:lang w:eastAsia="hr-HR"/>
        </w:rPr>
        <w:t>Socijalna skrb i zaštita</w:t>
      </w:r>
      <w:bookmarkEnd w:id="66"/>
      <w:bookmarkEnd w:id="67"/>
      <w:bookmarkEnd w:id="68"/>
      <w:bookmarkEnd w:id="69"/>
      <w:bookmarkEnd w:id="70"/>
      <w:bookmarkEnd w:id="71"/>
      <w:bookmarkEnd w:id="72"/>
      <w:bookmarkEnd w:id="73"/>
      <w:bookmarkEnd w:id="74"/>
      <w:r w:rsidRPr="006C69B9">
        <w:rPr>
          <w:rFonts w:ascii="Calibri" w:eastAsia="Calibri" w:hAnsi="Calibri" w:cs="Times New Roman"/>
          <w:b/>
          <w:bCs/>
          <w:iCs/>
          <w:color w:val="31849B"/>
          <w:sz w:val="24"/>
          <w:szCs w:val="28"/>
          <w:lang w:eastAsia="hr-HR"/>
        </w:rPr>
        <w:t xml:space="preserve"> </w:t>
      </w:r>
    </w:p>
    <w:bookmarkEnd w:id="75"/>
    <w:p w:rsidR="006C69B9" w:rsidRPr="006C69B9" w:rsidRDefault="006C69B9" w:rsidP="006C69B9">
      <w:pPr>
        <w:widowControl w:val="0"/>
        <w:autoSpaceDE w:val="0"/>
        <w:autoSpaceDN w:val="0"/>
        <w:adjustRightInd w:val="0"/>
        <w:spacing w:before="120" w:after="120" w:line="276" w:lineRule="auto"/>
        <w:jc w:val="both"/>
        <w:rPr>
          <w:rFonts w:ascii="Calibri" w:eastAsia="Calibri" w:hAnsi="Calibri" w:cs="Calibri"/>
        </w:rPr>
      </w:pPr>
      <w:r w:rsidRPr="006C69B9">
        <w:rPr>
          <w:rFonts w:ascii="Calibri" w:eastAsia="Calibri" w:hAnsi="Calibri" w:cs="Calibri"/>
        </w:rPr>
        <w:t xml:space="preserve">Socijalna zaštita provodi se putem centara za socijalni rad čiji su osnivači općine, odnosno grad Mostar, koje finansiraju njihov rad. Uz centre za socijalni rad registrirano je i 122 udruženja koja u svojoj djelatnosti imaju socijalni rad sa pojednim kategorijama socijalno ugroženih lica. Broj stručnog osoblja u centrima za socijalni rad nije u skladu sa odgovarajućim normativima u oblasti socijalne zaštite. Stoga bi u narednom periodu, pored ostalog, bilo neophodno poduzeti aktivnosti na poboljšanju kadrovske osposobljenosti centara za socijalni rad sa stručnim kadrovima. Najveći broj </w:t>
      </w:r>
      <w:r w:rsidRPr="006C69B9">
        <w:rPr>
          <w:rFonts w:ascii="Calibri" w:eastAsia="Calibri" w:hAnsi="Calibri" w:cs="Calibri"/>
        </w:rPr>
        <w:lastRenderedPageBreak/>
        <w:t>korisnika socijalne pomoći pripada kategorijama koje primaju dječiji dodatak, stalnu novčanu pomoć te jednokratnu novčanu pomoć. Jedan od bitnih nedostataka sustava socijalne zaštite jeste činjenica da ne postoji sistem praćenja kvalitete sistema socijalne zaštite.</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76" w:name="_Toc53350361"/>
      <w:bookmarkStart w:id="77" w:name="_Toc57573230"/>
      <w:bookmarkStart w:id="78" w:name="Civilnodruštvonevladineorganizac"/>
      <w:r w:rsidRPr="006C69B9">
        <w:rPr>
          <w:rFonts w:ascii="Calibri" w:eastAsia="Calibri" w:hAnsi="Calibri" w:cs="Times New Roman"/>
          <w:b/>
          <w:bCs/>
          <w:iCs/>
          <w:color w:val="31849B"/>
          <w:sz w:val="24"/>
          <w:szCs w:val="28"/>
          <w:lang w:eastAsia="hr-HR"/>
        </w:rPr>
        <w:t>Organizacije civilnog društva</w:t>
      </w:r>
      <w:bookmarkEnd w:id="76"/>
      <w:bookmarkEnd w:id="77"/>
    </w:p>
    <w:bookmarkEnd w:id="78"/>
    <w:p w:rsidR="006C69B9" w:rsidRPr="006C69B9" w:rsidRDefault="006C69B9" w:rsidP="006C69B9">
      <w:pPr>
        <w:ind w:firstLine="708"/>
        <w:jc w:val="both"/>
        <w:rPr>
          <w:rFonts w:ascii="Calibri" w:eastAsia="Calibri" w:hAnsi="Calibri" w:cs="Calibri"/>
        </w:rPr>
      </w:pPr>
    </w:p>
    <w:p w:rsidR="006C69B9" w:rsidRPr="006C69B9" w:rsidRDefault="006C69B9" w:rsidP="006C69B9">
      <w:pPr>
        <w:ind w:firstLine="708"/>
        <w:jc w:val="both"/>
        <w:rPr>
          <w:rFonts w:ascii="Calibri" w:eastAsia="Calibri" w:hAnsi="Calibri" w:cs="Calibri"/>
          <w:lang w:val="bs-Latn-BA"/>
        </w:rPr>
      </w:pPr>
      <w:r w:rsidRPr="006C69B9">
        <w:rPr>
          <w:rFonts w:ascii="Calibri" w:eastAsia="Calibri" w:hAnsi="Calibri" w:cs="Calibri"/>
          <w:lang w:val="bs-Latn-BA"/>
        </w:rPr>
        <w:t>Na području HNŽ/K registrovano je ukupno 2 568 udruženja, od toga je 1827 aktivnih</w:t>
      </w:r>
      <w:r w:rsidRPr="006C69B9">
        <w:rPr>
          <w:rFonts w:ascii="Calibri" w:eastAsia="Calibri" w:hAnsi="Calibri" w:cs="Calibri"/>
          <w:b/>
          <w:lang w:val="bs-Latn-BA"/>
        </w:rPr>
        <w:t xml:space="preserve"> </w:t>
      </w:r>
      <w:r w:rsidRPr="006C69B9">
        <w:rPr>
          <w:rFonts w:ascii="Calibri" w:eastAsia="Calibri" w:hAnsi="Calibri" w:cs="Calibri"/>
          <w:lang w:val="bs-Latn-BA"/>
        </w:rPr>
        <w:t xml:space="preserve">udruženja, 741 nektivnih-brisana udruženja. Što se tiče sjedišta registrovanih udruženja najviše ih je registrovano u Mostaru i to 1475 (aktivnih 1027), zatim u Čapljini 230 (aktivnih 171), Konjicu 189 (aktivnih 141), Stocu 172 (aktivnih 114), Čitluku 168 (aktivnih 129), Prozor-Rami 138 (aktivnih 97), Jablanici 115 (aktivnih 97)  Neumu 54 (aktivnih 31) i Ravnom 27 (aktivnih 20). </w:t>
      </w:r>
    </w:p>
    <w:p w:rsidR="006C69B9" w:rsidRPr="006C69B9" w:rsidRDefault="006C69B9" w:rsidP="006C69B9">
      <w:pPr>
        <w:ind w:firstLine="708"/>
        <w:jc w:val="both"/>
        <w:rPr>
          <w:rFonts w:ascii="Calibri" w:eastAsia="Calibri" w:hAnsi="Calibri" w:cs="Calibri"/>
          <w:lang w:val="bs-Latn-BA"/>
        </w:rPr>
      </w:pPr>
      <w:r w:rsidRPr="006C69B9">
        <w:rPr>
          <w:rFonts w:ascii="Calibri" w:eastAsia="Calibri" w:hAnsi="Calibri" w:cs="Calibri"/>
          <w:lang w:val="bs-Latn-BA"/>
        </w:rPr>
        <w:t xml:space="preserve">Najviše udruženja kao svoju registrovanu djelatnost imaju sport i rekreaciju (700), zatim  kultura i umjetnost (269), zaštita okoliša i prirode (262), zastupanje strukovnih interesa (188), građanske inicijative (78) i ostale djelatnosti. </w:t>
      </w:r>
    </w:p>
    <w:p w:rsidR="006C69B9" w:rsidRPr="006C69B9" w:rsidRDefault="006C69B9" w:rsidP="006C69B9">
      <w:pPr>
        <w:ind w:firstLine="708"/>
        <w:jc w:val="both"/>
        <w:rPr>
          <w:rFonts w:ascii="Calibri" w:eastAsia="Calibri" w:hAnsi="Calibri" w:cs="Calibri"/>
          <w:lang w:val="bs-Latn-BA"/>
        </w:rPr>
      </w:pPr>
      <w:r w:rsidRPr="006C69B9">
        <w:rPr>
          <w:rFonts w:ascii="Calibri" w:eastAsia="Calibri" w:hAnsi="Calibri" w:cs="Calibri"/>
          <w:lang w:val="bs-Latn-BA"/>
        </w:rPr>
        <w:t>Udruženja koja zastupaju obitelji poginulih i nestalih, ratnih vojnih invalida, nositelja ratnih odličja i dobitnika najvećih priznanja, logoraša, branitelja, invalida i slično, u našem Registru ima 128 aktivnih.</w:t>
      </w:r>
    </w:p>
    <w:p w:rsidR="006C69B9" w:rsidRPr="006C69B9" w:rsidRDefault="006C69B9" w:rsidP="006C69B9">
      <w:pPr>
        <w:widowControl w:val="0"/>
        <w:autoSpaceDE w:val="0"/>
        <w:autoSpaceDN w:val="0"/>
        <w:adjustRightInd w:val="0"/>
        <w:spacing w:before="120" w:after="120" w:line="276" w:lineRule="auto"/>
        <w:jc w:val="both"/>
        <w:rPr>
          <w:rFonts w:ascii="Calibri" w:eastAsia="Calibri" w:hAnsi="Calibri" w:cs="Calibri"/>
        </w:rPr>
      </w:pPr>
      <w:r w:rsidRPr="006C69B9">
        <w:rPr>
          <w:rFonts w:ascii="Calibri" w:eastAsia="Calibri" w:hAnsi="Calibri" w:cs="Calibri"/>
        </w:rPr>
        <w:t>Civilino društvo u županiji još uvijek ne predstavlja u dovoljnoj mjeri relevantan korektivni faktor u djelovanju vladajućih struktura, niti relevantan korektiv u artikulaciji budućih pravaca razvoja i djelovanja i lokalne zajednice i HNŽ.</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79" w:name="_Toc57573231"/>
      <w:r w:rsidRPr="006C69B9">
        <w:rPr>
          <w:rFonts w:ascii="Calibri" w:eastAsia="Calibri" w:hAnsi="Calibri" w:cs="Times New Roman"/>
          <w:b/>
          <w:bCs/>
          <w:color w:val="4BACC6"/>
          <w:szCs w:val="26"/>
          <w:lang w:val="bs-Latn-BA" w:eastAsia="hr-HR"/>
        </w:rPr>
        <w:t>Udruženja i zadruge branitelja/boraca</w:t>
      </w:r>
      <w:bookmarkEnd w:id="79"/>
    </w:p>
    <w:p w:rsidR="006C69B9" w:rsidRPr="006C69B9" w:rsidRDefault="006C69B9" w:rsidP="006C69B9">
      <w:pPr>
        <w:spacing w:before="100" w:beforeAutospacing="1" w:after="100" w:afterAutospacing="1" w:line="240" w:lineRule="auto"/>
        <w:jc w:val="both"/>
        <w:rPr>
          <w:rFonts w:ascii="Calibri" w:eastAsia="Times New Roman" w:hAnsi="Calibri" w:cs="Calibri"/>
          <w:color w:val="000000"/>
          <w:lang w:val="en-US"/>
        </w:rPr>
      </w:pPr>
      <w:r w:rsidRPr="006C69B9">
        <w:rPr>
          <w:rFonts w:ascii="Calibri" w:eastAsia="Times New Roman" w:hAnsi="Calibri" w:cs="Calibri"/>
          <w:color w:val="000000"/>
          <w:lang w:val="en-US"/>
        </w:rPr>
        <w:t>Braniteljske udruge na području HNŽ/K okupljaju i zastupaju obitelji poginulih i nestalih,ratne vojne invalide, nositelje ratnih odličja i dobitnike najvećih priznanja, maloljetne branitelje,veterane i dragovoljce, umirovljene i razvojačene branitelje, pripadnike specijalne policije, logoraše, organizatore i pokretače otpora ,branitelje i invalide liječene od PTSP-a i dr.</w:t>
      </w:r>
    </w:p>
    <w:p w:rsidR="006C69B9" w:rsidRPr="006C69B9" w:rsidRDefault="006C69B9" w:rsidP="006C69B9">
      <w:pPr>
        <w:spacing w:before="100" w:beforeAutospacing="1" w:after="100" w:afterAutospacing="1" w:line="240" w:lineRule="auto"/>
        <w:jc w:val="both"/>
        <w:rPr>
          <w:rFonts w:ascii="Calibri" w:eastAsia="Times New Roman" w:hAnsi="Calibri" w:cs="Calibri"/>
          <w:color w:val="000000"/>
          <w:lang w:val="en-US"/>
        </w:rPr>
      </w:pPr>
      <w:r w:rsidRPr="006C69B9">
        <w:rPr>
          <w:rFonts w:ascii="Calibri" w:eastAsia="Times New Roman" w:hAnsi="Calibri" w:cs="Calibri"/>
          <w:color w:val="000000"/>
          <w:lang w:val="en-US"/>
        </w:rPr>
        <w:t>Cilj postojanja i djelovanja udruga je pravna i socijalna zaštita kao i psihosocijalno jačanje populacije koju zastupaju. Raznim aktivnostima i projektima nastoje podići kvalitetu življenja ,očuvanje vrijednosti proisteklih iz Domovinskog rata, te podizati razinu znanja i informiranosti članova udruga o njihovim zakonskim pravima.</w:t>
      </w:r>
    </w:p>
    <w:p w:rsidR="006C69B9" w:rsidRPr="006C69B9" w:rsidRDefault="006C69B9" w:rsidP="006C69B9">
      <w:pPr>
        <w:jc w:val="both"/>
        <w:rPr>
          <w:rFonts w:ascii="Calibri" w:eastAsia="Calibri" w:hAnsi="Calibri" w:cs="Calibri"/>
          <w:lang w:val="bs-Latn-BA"/>
        </w:rPr>
      </w:pPr>
      <w:r w:rsidRPr="006C69B9">
        <w:rPr>
          <w:rFonts w:ascii="Calibri" w:eastAsia="Calibri" w:hAnsi="Calibri" w:cs="Calibri"/>
          <w:lang w:val="bs-Latn-BA"/>
        </w:rPr>
        <w:t xml:space="preserve">Ministarstvo za pitanja branitelja/boraca HNŽ/K, uvažavajući složenost svih procesa koji identificiraju i zahvaćaju institucionalne mehanizme, te relevantno društveno okruženje koje definira tržišno gospodarstvo, poduzima mjere i aktivnosti na izgradnji sveobuhvatnog sustava potpore braniteljima, kao segmentu socijalne politike, čime stavlja naglasak na sazrijevanje svijesti o potrebi pristupa braniteljima kroz definirane projekte i usklađene programe potpore resocijalizaciji branitelja, upošljavanju i poduzetništvu. </w:t>
      </w:r>
    </w:p>
    <w:p w:rsidR="006C69B9" w:rsidRPr="006C69B9" w:rsidRDefault="006C69B9" w:rsidP="006C69B9">
      <w:pPr>
        <w:spacing w:line="240" w:lineRule="auto"/>
        <w:jc w:val="both"/>
        <w:rPr>
          <w:rFonts w:ascii="Calibri" w:eastAsia="Calibri" w:hAnsi="Calibri" w:cs="Calibri"/>
          <w:lang w:val="bs-Latn-BA"/>
        </w:rPr>
      </w:pPr>
      <w:r w:rsidRPr="006C69B9">
        <w:rPr>
          <w:rFonts w:ascii="Calibri" w:eastAsia="Calibri" w:hAnsi="Calibri" w:cs="Calibri"/>
          <w:lang w:val="bs-Latn-BA"/>
        </w:rPr>
        <w:t>Temeljem Zakona o organizaciji uprave u HNŽ („Narodne novine HNŽ“, broj:9/09), a sukladno Pravilniku o unutarnjem ustroju, načinu rada i sistematizaciji poslova Ministarstva za pitanja branitelja/boraca poslovi se obavljaju u okviru:</w:t>
      </w:r>
    </w:p>
    <w:p w:rsidR="006C69B9" w:rsidRPr="006C69B9" w:rsidRDefault="006C69B9" w:rsidP="00F85905">
      <w:pPr>
        <w:keepNext/>
        <w:numPr>
          <w:ilvl w:val="0"/>
          <w:numId w:val="11"/>
        </w:numPr>
        <w:spacing w:after="0" w:line="240" w:lineRule="auto"/>
        <w:ind w:left="567"/>
        <w:contextualSpacing/>
        <w:jc w:val="both"/>
        <w:rPr>
          <w:rFonts w:ascii="Calibri" w:eastAsia="Calibri" w:hAnsi="Calibri" w:cs="Calibri"/>
          <w:lang w:val="bs-Latn-BA"/>
        </w:rPr>
      </w:pPr>
      <w:r w:rsidRPr="006C69B9">
        <w:rPr>
          <w:rFonts w:ascii="Calibri" w:eastAsia="Calibri" w:hAnsi="Calibri" w:cs="Calibri"/>
          <w:lang w:val="bs-Latn-BA"/>
        </w:rPr>
        <w:t>Kabineta Ministarstva;</w:t>
      </w:r>
    </w:p>
    <w:p w:rsidR="006C69B9" w:rsidRPr="006C69B9" w:rsidRDefault="006C69B9" w:rsidP="00F85905">
      <w:pPr>
        <w:keepNext/>
        <w:numPr>
          <w:ilvl w:val="0"/>
          <w:numId w:val="11"/>
        </w:numPr>
        <w:spacing w:after="0" w:line="240" w:lineRule="auto"/>
        <w:ind w:left="567"/>
        <w:contextualSpacing/>
        <w:jc w:val="both"/>
        <w:rPr>
          <w:rFonts w:ascii="Calibri" w:eastAsia="Calibri" w:hAnsi="Calibri" w:cs="Calibri"/>
          <w:lang w:val="bs-Latn-BA"/>
        </w:rPr>
      </w:pPr>
      <w:r w:rsidRPr="006C69B9">
        <w:rPr>
          <w:rFonts w:ascii="Calibri" w:eastAsia="Calibri" w:hAnsi="Calibri" w:cs="Calibri"/>
          <w:lang w:val="bs-Latn-BA"/>
        </w:rPr>
        <w:t xml:space="preserve">Sektora  za pravne, opće i administrativne poslove A RBiH, MUP; </w:t>
      </w:r>
    </w:p>
    <w:p w:rsidR="006C69B9" w:rsidRPr="006C69B9" w:rsidRDefault="006C69B9" w:rsidP="00F85905">
      <w:pPr>
        <w:keepNext/>
        <w:numPr>
          <w:ilvl w:val="0"/>
          <w:numId w:val="11"/>
        </w:numPr>
        <w:spacing w:after="0" w:line="240" w:lineRule="auto"/>
        <w:ind w:left="567"/>
        <w:contextualSpacing/>
        <w:jc w:val="both"/>
        <w:rPr>
          <w:rFonts w:ascii="Calibri" w:eastAsia="Calibri" w:hAnsi="Calibri" w:cs="Calibri"/>
          <w:lang w:val="bs-Latn-BA"/>
        </w:rPr>
      </w:pPr>
      <w:r w:rsidRPr="006C69B9">
        <w:rPr>
          <w:rFonts w:ascii="Calibri" w:eastAsia="Calibri" w:hAnsi="Calibri" w:cs="Calibri"/>
          <w:lang w:val="bs-Latn-BA"/>
        </w:rPr>
        <w:t>Sektora  za pravne, opće i administrativne poslove HVO, MUP.</w:t>
      </w:r>
    </w:p>
    <w:p w:rsidR="006C69B9" w:rsidRPr="006C69B9" w:rsidRDefault="006C69B9" w:rsidP="006C69B9">
      <w:pPr>
        <w:jc w:val="both"/>
        <w:rPr>
          <w:rFonts w:ascii="Calibri" w:eastAsia="Calibri" w:hAnsi="Calibri" w:cs="Calibri"/>
          <w:lang w:val="bs-Latn-BA"/>
        </w:rPr>
      </w:pPr>
    </w:p>
    <w:p w:rsidR="006C69B9" w:rsidRPr="006C69B9" w:rsidRDefault="006C69B9" w:rsidP="006C69B9">
      <w:pPr>
        <w:jc w:val="both"/>
        <w:rPr>
          <w:rFonts w:ascii="Calibri" w:eastAsia="Calibri" w:hAnsi="Calibri" w:cs="Calibri"/>
          <w:lang w:val="bs-Latn-BA"/>
        </w:rPr>
      </w:pPr>
      <w:r w:rsidRPr="006C69B9">
        <w:rPr>
          <w:rFonts w:ascii="Calibri" w:eastAsia="Calibri" w:hAnsi="Calibri" w:cs="Calibri"/>
          <w:lang w:val="bs-Latn-BA"/>
        </w:rPr>
        <w:lastRenderedPageBreak/>
        <w:t>Ministarstvo za pitanja branitelja/boraca je razvilo odgovarajuće Programe uz suglasnost Vlade HNŽ/K s akcentom na slijedeće mjere:</w:t>
      </w:r>
    </w:p>
    <w:p w:rsidR="006C69B9" w:rsidRPr="006C69B9" w:rsidRDefault="006C69B9" w:rsidP="006C69B9">
      <w:pPr>
        <w:jc w:val="both"/>
        <w:rPr>
          <w:rFonts w:ascii="Calibri" w:eastAsia="Calibri" w:hAnsi="Calibri" w:cs="Calibri"/>
        </w:rPr>
      </w:pPr>
      <w:r w:rsidRPr="006C69B9">
        <w:rPr>
          <w:rFonts w:ascii="Calibri" w:eastAsia="Calibri" w:hAnsi="Calibri" w:cs="Calibri"/>
        </w:rPr>
        <w:t>- Mjera poticanja osnivanja, rada i razvoja braniteljskih zadruga</w:t>
      </w:r>
    </w:p>
    <w:p w:rsidR="006C69B9" w:rsidRPr="006C69B9" w:rsidRDefault="006C69B9" w:rsidP="006C69B9">
      <w:pPr>
        <w:jc w:val="both"/>
        <w:rPr>
          <w:rFonts w:ascii="Calibri" w:eastAsia="Calibri" w:hAnsi="Calibri" w:cs="Calibri"/>
        </w:rPr>
      </w:pPr>
      <w:r w:rsidRPr="006C69B9">
        <w:rPr>
          <w:rFonts w:ascii="Calibri" w:eastAsia="Calibri" w:hAnsi="Calibri" w:cs="Calibri"/>
        </w:rPr>
        <w:t>- Mjera poticanja samoupošljavanja branitelja i članova njihovih obitelji kroz potporu obavljanju obrtničke djelatnosti</w:t>
      </w:r>
    </w:p>
    <w:p w:rsidR="006C69B9" w:rsidRPr="006C69B9" w:rsidRDefault="006C69B9" w:rsidP="006C69B9">
      <w:pPr>
        <w:jc w:val="both"/>
        <w:rPr>
          <w:rFonts w:ascii="Calibri" w:eastAsia="Calibri" w:hAnsi="Calibri" w:cs="Calibri"/>
        </w:rPr>
      </w:pPr>
      <w:r w:rsidRPr="006C69B9">
        <w:rPr>
          <w:rFonts w:ascii="Calibri" w:eastAsia="Calibri" w:hAnsi="Calibri" w:cs="Calibri"/>
        </w:rPr>
        <w:t>- Mjera poticanja samoupošljavanja branitelja i članova njihovih obitelji kroz potporu razvoju i održivosti obiteljskim poljoprivrednim gospodarstvima i braniteljima-poljoprivrednicima</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58</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Broj udruga i financijska potpora od 2009. do 2020.</w:t>
      </w:r>
    </w:p>
    <w:tbl>
      <w:tblPr>
        <w:tblStyle w:val="GridTable5Dark-Accent51"/>
        <w:tblW w:w="7928" w:type="dxa"/>
        <w:tblLayout w:type="fixed"/>
        <w:tblLook w:val="06E0"/>
      </w:tblPr>
      <w:tblGrid>
        <w:gridCol w:w="2684"/>
        <w:gridCol w:w="2613"/>
        <w:gridCol w:w="2631"/>
      </w:tblGrid>
      <w:tr w:rsidR="00F85905" w:rsidRPr="006C69B9" w:rsidTr="006C69B9">
        <w:trPr>
          <w:cnfStyle w:val="100000000000"/>
          <w:trHeight w:val="529"/>
        </w:trPr>
        <w:tc>
          <w:tcPr>
            <w:cnfStyle w:val="001000000000"/>
            <w:tcW w:w="2684" w:type="dxa"/>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sz w:val="20"/>
                <w:szCs w:val="20"/>
                <w:lang w:val="bs-Latn-BA"/>
              </w:rPr>
              <w:t>GODINA</w:t>
            </w:r>
          </w:p>
        </w:tc>
        <w:tc>
          <w:tcPr>
            <w:tcW w:w="2613"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BROJ UDRUGA/UDRUŽENJA</w:t>
            </w:r>
          </w:p>
        </w:tc>
        <w:tc>
          <w:tcPr>
            <w:tcW w:w="2631"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IZNOS U PRORAČUNU U KM</w:t>
            </w:r>
          </w:p>
        </w:tc>
      </w:tr>
      <w:tr w:rsidR="006C69B9" w:rsidRPr="006C69B9" w:rsidTr="006C69B9">
        <w:trPr>
          <w:trHeight w:val="227"/>
        </w:trPr>
        <w:tc>
          <w:tcPr>
            <w:cnfStyle w:val="001000000000"/>
            <w:tcW w:w="2684" w:type="dxa"/>
            <w:shd w:val="clear" w:color="auto" w:fill="DAEEF3"/>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2009</w:t>
            </w:r>
          </w:p>
        </w:tc>
        <w:tc>
          <w:tcPr>
            <w:tcW w:w="2613"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20</w:t>
            </w:r>
          </w:p>
        </w:tc>
        <w:tc>
          <w:tcPr>
            <w:tcW w:w="263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394.690,00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2010</w:t>
            </w:r>
          </w:p>
        </w:tc>
        <w:tc>
          <w:tcPr>
            <w:tcW w:w="2613"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23</w:t>
            </w:r>
          </w:p>
        </w:tc>
        <w:tc>
          <w:tcPr>
            <w:tcW w:w="263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385.885,00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2011</w:t>
            </w:r>
          </w:p>
        </w:tc>
        <w:tc>
          <w:tcPr>
            <w:tcW w:w="2613"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23</w:t>
            </w:r>
          </w:p>
        </w:tc>
        <w:tc>
          <w:tcPr>
            <w:tcW w:w="263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224.139,00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2012</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300.890,00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2013</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266.176,00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2014</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253.427,00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245.415,00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308.760,00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426.216,00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460.411,00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406.739,00</w:t>
            </w:r>
          </w:p>
        </w:tc>
      </w:tr>
      <w:tr w:rsidR="006C69B9" w:rsidRPr="006C69B9" w:rsidTr="006C69B9">
        <w:trPr>
          <w:trHeight w:val="223"/>
        </w:trPr>
        <w:tc>
          <w:tcPr>
            <w:cnfStyle w:val="001000000000"/>
            <w:tcW w:w="2684" w:type="dxa"/>
            <w:shd w:val="clear" w:color="auto" w:fill="DAEEF3"/>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2020</w:t>
            </w:r>
          </w:p>
        </w:tc>
        <w:tc>
          <w:tcPr>
            <w:tcW w:w="2613"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w:t>
            </w:r>
          </w:p>
        </w:tc>
        <w:tc>
          <w:tcPr>
            <w:tcW w:w="263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479.180,00</w:t>
            </w:r>
          </w:p>
        </w:tc>
      </w:tr>
      <w:tr w:rsidR="00F85905" w:rsidRPr="006C69B9" w:rsidTr="006C69B9">
        <w:trPr>
          <w:cnfStyle w:val="010000000000"/>
          <w:trHeight w:val="227"/>
        </w:trPr>
        <w:tc>
          <w:tcPr>
            <w:cnfStyle w:val="001000000000"/>
            <w:tcW w:w="2684" w:type="dxa"/>
          </w:tcPr>
          <w:p w:rsidR="006C69B9" w:rsidRPr="006C69B9" w:rsidRDefault="006C69B9" w:rsidP="006C69B9">
            <w:pPr>
              <w:spacing w:line="276" w:lineRule="auto"/>
              <w:rPr>
                <w:rFonts w:ascii="Calibri" w:eastAsia="Calibri" w:hAnsi="Calibri" w:cs="Calibri"/>
                <w:sz w:val="20"/>
                <w:szCs w:val="20"/>
                <w:lang w:val="bs-Latn-BA"/>
              </w:rPr>
            </w:pPr>
          </w:p>
        </w:tc>
        <w:tc>
          <w:tcPr>
            <w:tcW w:w="2613"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p>
        </w:tc>
        <w:tc>
          <w:tcPr>
            <w:tcW w:w="2631" w:type="dxa"/>
          </w:tcPr>
          <w:p w:rsidR="006C69B9" w:rsidRPr="006C69B9" w:rsidRDefault="006C69B9" w:rsidP="006C69B9">
            <w:pPr>
              <w:spacing w:line="276" w:lineRule="auto"/>
              <w:jc w:val="center"/>
              <w:cnfStyle w:val="010000000000"/>
              <w:rPr>
                <w:rFonts w:ascii="Calibri" w:eastAsia="Calibri" w:hAnsi="Calibri" w:cs="Calibri"/>
                <w:color w:val="000000"/>
                <w:sz w:val="20"/>
                <w:szCs w:val="20"/>
                <w:lang w:val="bs-Latn-BA"/>
              </w:rPr>
            </w:pP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Evidencija Ministrstva za pitanja branitelja/boraca HNŽ/K</w:t>
      </w:r>
    </w:p>
    <w:p w:rsidR="006C69B9" w:rsidRPr="006C69B9" w:rsidRDefault="006C69B9" w:rsidP="006C69B9">
      <w:pPr>
        <w:spacing w:after="0" w:line="240" w:lineRule="auto"/>
        <w:jc w:val="both"/>
        <w:rPr>
          <w:rFonts w:ascii="Calibri" w:eastAsia="Calibri" w:hAnsi="Calibri" w:cs="Calibri"/>
          <w:lang w:val="hr-BA"/>
        </w:rPr>
      </w:pPr>
    </w:p>
    <w:p w:rsidR="006C69B9" w:rsidRPr="006C69B9" w:rsidRDefault="006C69B9" w:rsidP="006C69B9">
      <w:pPr>
        <w:spacing w:after="0" w:line="240" w:lineRule="auto"/>
        <w:jc w:val="both"/>
        <w:rPr>
          <w:rFonts w:ascii="Calibri" w:eastAsia="Calibri" w:hAnsi="Calibri" w:cs="Calibri"/>
          <w:lang w:val="hr-BA"/>
        </w:rPr>
      </w:pPr>
      <w:r w:rsidRPr="006C69B9">
        <w:rPr>
          <w:rFonts w:ascii="Calibri" w:eastAsia="Calibri" w:hAnsi="Calibri" w:cs="Calibri"/>
          <w:lang w:val="hr-BA"/>
        </w:rPr>
        <w:t>Za period od 2016.-2020. godine utvrđeni su izdatci za branitelje po osnovu Zakona o dopunskim pravima branitelja/boraca. Do 30.9.2020. godine realizirano je 724.083,65 KM.</w:t>
      </w:r>
    </w:p>
    <w:p w:rsidR="006C69B9" w:rsidRPr="006C69B9" w:rsidRDefault="006C69B9" w:rsidP="006C69B9">
      <w:pPr>
        <w:spacing w:after="0" w:line="240" w:lineRule="auto"/>
        <w:jc w:val="both"/>
        <w:rPr>
          <w:rFonts w:ascii="Calibri" w:eastAsia="Calibri" w:hAnsi="Calibri" w:cs="Calibri"/>
          <w:lang w:val="hr-BA"/>
        </w:rPr>
      </w:pPr>
    </w:p>
    <w:p w:rsidR="006C69B9" w:rsidRPr="006C69B9" w:rsidRDefault="006C69B9" w:rsidP="006C69B9">
      <w:pPr>
        <w:spacing w:after="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59. Izdatci za branitelje/borce 2016.-2020.</w:t>
      </w:r>
    </w:p>
    <w:p w:rsidR="006C69B9" w:rsidRPr="006C69B9" w:rsidRDefault="006C69B9" w:rsidP="006C69B9">
      <w:pPr>
        <w:spacing w:after="0" w:line="240" w:lineRule="auto"/>
        <w:jc w:val="both"/>
        <w:rPr>
          <w:rFonts w:ascii="Calibri" w:eastAsia="Calibri" w:hAnsi="Calibri" w:cs="Calibri"/>
          <w:lang w:val="hr-BA"/>
        </w:rPr>
      </w:pPr>
    </w:p>
    <w:tbl>
      <w:tblPr>
        <w:tblStyle w:val="GridTable5Dark-Accent51"/>
        <w:tblW w:w="9040" w:type="dxa"/>
        <w:tblLook w:val="04A0"/>
      </w:tblPr>
      <w:tblGrid>
        <w:gridCol w:w="2219"/>
        <w:gridCol w:w="1377"/>
        <w:gridCol w:w="1377"/>
        <w:gridCol w:w="1345"/>
        <w:gridCol w:w="1377"/>
        <w:gridCol w:w="1345"/>
      </w:tblGrid>
      <w:tr w:rsidR="00F85905" w:rsidRPr="006C69B9" w:rsidTr="006C69B9">
        <w:trPr>
          <w:cnfStyle w:val="100000000000"/>
          <w:trHeight w:val="881"/>
        </w:trPr>
        <w:tc>
          <w:tcPr>
            <w:cnfStyle w:val="001000000000"/>
            <w:tcW w:w="2219" w:type="dxa"/>
            <w:noWrap/>
            <w:hideMark/>
          </w:tcPr>
          <w:p w:rsidR="006C69B9" w:rsidRPr="006C69B9" w:rsidRDefault="006C69B9" w:rsidP="006C69B9">
            <w:pPr>
              <w:jc w:val="cente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Naziv pozicije Budžeta</w:t>
            </w:r>
          </w:p>
        </w:tc>
        <w:tc>
          <w:tcPr>
            <w:tcW w:w="1377" w:type="dxa"/>
            <w:hideMark/>
          </w:tcPr>
          <w:p w:rsidR="006C69B9" w:rsidRPr="006C69B9" w:rsidRDefault="006C69B9" w:rsidP="006C69B9">
            <w:pPr>
              <w:jc w:val="center"/>
              <w:cnfStyle w:val="1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REALIZOVANO 2016</w:t>
            </w:r>
          </w:p>
        </w:tc>
        <w:tc>
          <w:tcPr>
            <w:tcW w:w="1377" w:type="dxa"/>
            <w:hideMark/>
          </w:tcPr>
          <w:p w:rsidR="006C69B9" w:rsidRPr="006C69B9" w:rsidRDefault="006C69B9" w:rsidP="006C69B9">
            <w:pPr>
              <w:jc w:val="center"/>
              <w:cnfStyle w:val="1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REALIZOVANO 2017</w:t>
            </w:r>
          </w:p>
        </w:tc>
        <w:tc>
          <w:tcPr>
            <w:tcW w:w="1345" w:type="dxa"/>
            <w:hideMark/>
          </w:tcPr>
          <w:p w:rsidR="006C69B9" w:rsidRPr="006C69B9" w:rsidRDefault="006C69B9" w:rsidP="006C69B9">
            <w:pPr>
              <w:jc w:val="center"/>
              <w:cnfStyle w:val="1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REALIZOVANO 2018</w:t>
            </w:r>
          </w:p>
        </w:tc>
        <w:tc>
          <w:tcPr>
            <w:tcW w:w="1377" w:type="dxa"/>
            <w:hideMark/>
          </w:tcPr>
          <w:p w:rsidR="006C69B9" w:rsidRPr="006C69B9" w:rsidRDefault="006C69B9" w:rsidP="006C69B9">
            <w:pPr>
              <w:jc w:val="center"/>
              <w:cnfStyle w:val="1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REALIZOVANO 2019</w:t>
            </w:r>
          </w:p>
        </w:tc>
        <w:tc>
          <w:tcPr>
            <w:tcW w:w="1345" w:type="dxa"/>
            <w:hideMark/>
          </w:tcPr>
          <w:p w:rsidR="006C69B9" w:rsidRPr="006C69B9" w:rsidRDefault="006C69B9" w:rsidP="006C69B9">
            <w:pPr>
              <w:jc w:val="center"/>
              <w:cnfStyle w:val="1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REALIZOVANO do 30.09.2020</w:t>
            </w:r>
          </w:p>
        </w:tc>
      </w:tr>
      <w:tr w:rsidR="00F85905" w:rsidRPr="006C69B9" w:rsidTr="006C69B9">
        <w:trPr>
          <w:cnfStyle w:val="000000100000"/>
          <w:trHeight w:val="282"/>
        </w:trPr>
        <w:tc>
          <w:tcPr>
            <w:cnfStyle w:val="001000000000"/>
            <w:tcW w:w="2219" w:type="dxa"/>
            <w:hideMark/>
          </w:tcPr>
          <w:p w:rsidR="006C69B9" w:rsidRPr="006C69B9" w:rsidRDefault="006C69B9" w:rsidP="006C69B9">
            <w:pPr>
              <w:jc w:val="cente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w:t>
            </w:r>
          </w:p>
        </w:tc>
        <w:tc>
          <w:tcPr>
            <w:tcW w:w="1377" w:type="dxa"/>
            <w:noWrap/>
            <w:hideMark/>
          </w:tcPr>
          <w:p w:rsidR="006C69B9" w:rsidRPr="006C69B9" w:rsidRDefault="006C69B9" w:rsidP="006C69B9">
            <w:pPr>
              <w:jc w:val="cente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w:t>
            </w:r>
          </w:p>
        </w:tc>
        <w:tc>
          <w:tcPr>
            <w:tcW w:w="1377" w:type="dxa"/>
            <w:noWrap/>
            <w:hideMark/>
          </w:tcPr>
          <w:p w:rsidR="006C69B9" w:rsidRPr="006C69B9" w:rsidRDefault="006C69B9" w:rsidP="006C69B9">
            <w:pPr>
              <w:jc w:val="cente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4</w:t>
            </w:r>
          </w:p>
        </w:tc>
        <w:tc>
          <w:tcPr>
            <w:tcW w:w="1345" w:type="dxa"/>
            <w:noWrap/>
            <w:hideMark/>
          </w:tcPr>
          <w:p w:rsidR="006C69B9" w:rsidRPr="006C69B9" w:rsidRDefault="006C69B9" w:rsidP="006C69B9">
            <w:pPr>
              <w:jc w:val="cente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5</w:t>
            </w:r>
          </w:p>
        </w:tc>
        <w:tc>
          <w:tcPr>
            <w:tcW w:w="1377" w:type="dxa"/>
            <w:noWrap/>
            <w:hideMark/>
          </w:tcPr>
          <w:p w:rsidR="006C69B9" w:rsidRPr="006C69B9" w:rsidRDefault="006C69B9" w:rsidP="006C69B9">
            <w:pPr>
              <w:jc w:val="cente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6</w:t>
            </w:r>
          </w:p>
        </w:tc>
        <w:tc>
          <w:tcPr>
            <w:tcW w:w="1345" w:type="dxa"/>
            <w:noWrap/>
            <w:hideMark/>
          </w:tcPr>
          <w:p w:rsidR="006C69B9" w:rsidRPr="006C69B9" w:rsidRDefault="006C69B9" w:rsidP="006C69B9">
            <w:pPr>
              <w:jc w:val="cente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6</w:t>
            </w:r>
          </w:p>
        </w:tc>
      </w:tr>
      <w:tr w:rsidR="00F85905" w:rsidRPr="006C69B9" w:rsidTr="006C69B9">
        <w:trPr>
          <w:trHeight w:val="690"/>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IZDACI PO OSNOVU ZAKONA O DOP. PRAV. BORACA</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1.180.785,00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1.717.168,00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2.172.082,00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2.526.824,00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724.083,65 КМ</w:t>
            </w:r>
          </w:p>
        </w:tc>
      </w:tr>
      <w:tr w:rsidR="00F85905" w:rsidRPr="006C69B9" w:rsidTr="006C69B9">
        <w:trPr>
          <w:cnfStyle w:val="000000100000"/>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Zdravstvena zaštita i osiguranje     sanitetskog mat.i lijekova</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278.461,00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273.509,00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270.947,00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273.182,00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213.223,65 КМ</w:t>
            </w:r>
          </w:p>
        </w:tc>
      </w:tr>
      <w:tr w:rsidR="00F85905" w:rsidRPr="006C69B9" w:rsidTr="006C69B9">
        <w:trPr>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Banjsko i klimatsko liječenje</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59.100,00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98.426,00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118.712,00 КМ</w:t>
            </w:r>
          </w:p>
        </w:tc>
        <w:tc>
          <w:tcPr>
            <w:tcW w:w="1377" w:type="dxa"/>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187.797,00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10.000,00 КМ</w:t>
            </w:r>
          </w:p>
        </w:tc>
      </w:tr>
      <w:tr w:rsidR="00F85905" w:rsidRPr="006C69B9" w:rsidTr="006C69B9">
        <w:trPr>
          <w:cnfStyle w:val="000000100000"/>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Ortopedska i druga pomagala</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84.208,00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132.237,00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36.104,00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68.200,00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60.200,00 КМ</w:t>
            </w:r>
          </w:p>
        </w:tc>
      </w:tr>
      <w:tr w:rsidR="00F85905" w:rsidRPr="006C69B9" w:rsidTr="006C69B9">
        <w:trPr>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Pomoć za otvaranje radnih mjesta</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50.000,00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68.700,00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302.420,00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309.539,00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0,00 КМ</w:t>
            </w:r>
          </w:p>
        </w:tc>
      </w:tr>
      <w:tr w:rsidR="00F85905" w:rsidRPr="006C69B9" w:rsidTr="006C69B9">
        <w:trPr>
          <w:cnfStyle w:val="000000100000"/>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Stambeno zbrinjavanje</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270.000,00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400.000,00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588.000,00 КМ</w:t>
            </w:r>
          </w:p>
        </w:tc>
        <w:tc>
          <w:tcPr>
            <w:tcW w:w="1377" w:type="dxa"/>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560.950,00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0,00 КМ</w:t>
            </w:r>
          </w:p>
        </w:tc>
      </w:tr>
      <w:tr w:rsidR="00F85905" w:rsidRPr="006C69B9" w:rsidTr="006C69B9">
        <w:trPr>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lastRenderedPageBreak/>
              <w:t>Jednokratne novčane pomoći</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263.250,00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305.000,00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329.000,00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360.020,00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219.750,00 КМ</w:t>
            </w:r>
          </w:p>
        </w:tc>
      </w:tr>
      <w:tr w:rsidR="00F85905" w:rsidRPr="006C69B9" w:rsidTr="006C69B9">
        <w:trPr>
          <w:cnfStyle w:val="000000100000"/>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Naknade za podizanje nišana - spomen obilježja</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25.810,00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30.000,00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128.410,00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145.920,00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18.550,00 КМ</w:t>
            </w:r>
          </w:p>
        </w:tc>
      </w:tr>
      <w:tr w:rsidR="00F85905" w:rsidRPr="006C69B9" w:rsidTr="006C69B9">
        <w:trPr>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Naknade troškova pokopa i dženaze</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79.956,00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99.296,00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80.410,00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104.780,00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60.660,00 КМ</w:t>
            </w:r>
          </w:p>
        </w:tc>
      </w:tr>
      <w:tr w:rsidR="00F85905" w:rsidRPr="006C69B9" w:rsidTr="006C69B9">
        <w:trPr>
          <w:cnfStyle w:val="000000100000"/>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Pomoć po osnovu ratnog priznanja ili odlikovanja</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20.000,00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20.000,00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20.000,00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20.000,00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5.000,00 КМ</w:t>
            </w:r>
          </w:p>
        </w:tc>
      </w:tr>
      <w:tr w:rsidR="00F85905" w:rsidRPr="006C69B9" w:rsidTr="006C69B9">
        <w:trPr>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Obilježavanje značajnih datuma</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50.000,00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90.000,00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150.500,00 КМ</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182.000,00 КМ</w:t>
            </w:r>
          </w:p>
        </w:tc>
        <w:tc>
          <w:tcPr>
            <w:tcW w:w="1345"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36.700,00 КМ</w:t>
            </w:r>
          </w:p>
        </w:tc>
      </w:tr>
      <w:tr w:rsidR="00F85905" w:rsidRPr="006C69B9" w:rsidTr="006C69B9">
        <w:trPr>
          <w:cnfStyle w:val="000000100000"/>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Subvencioniranje zapošlj. djece pog. boraca i  djece RVI</w:t>
            </w:r>
          </w:p>
        </w:tc>
        <w:tc>
          <w:tcPr>
            <w:tcW w:w="1377" w:type="dxa"/>
            <w:noWrap/>
            <w:hideMark/>
          </w:tcPr>
          <w:p w:rsidR="006C69B9" w:rsidRPr="006C69B9" w:rsidRDefault="006C69B9" w:rsidP="006C69B9">
            <w:pP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200.000,00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147.552,00 КМ</w:t>
            </w:r>
          </w:p>
        </w:tc>
        <w:tc>
          <w:tcPr>
            <w:tcW w:w="1377"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200.000,00 КМ</w:t>
            </w:r>
          </w:p>
        </w:tc>
        <w:tc>
          <w:tcPr>
            <w:tcW w:w="1345" w:type="dxa"/>
            <w:noWrap/>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100.000,00 КМ</w:t>
            </w:r>
          </w:p>
        </w:tc>
      </w:tr>
      <w:tr w:rsidR="00F85905" w:rsidRPr="006C69B9" w:rsidTr="006C69B9">
        <w:trPr>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77" w:type="dxa"/>
            <w:noWrap/>
            <w:hideMark/>
          </w:tcPr>
          <w:p w:rsidR="006C69B9" w:rsidRPr="006C69B9" w:rsidRDefault="006C69B9" w:rsidP="006C69B9">
            <w:pPr>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77" w:type="dxa"/>
            <w:noWrap/>
            <w:hideMark/>
          </w:tcPr>
          <w:p w:rsidR="006C69B9" w:rsidRPr="006C69B9" w:rsidRDefault="006C69B9" w:rsidP="006C69B9">
            <w:pPr>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45" w:type="dxa"/>
            <w:noWrap/>
            <w:hideMark/>
          </w:tcPr>
          <w:p w:rsidR="006C69B9" w:rsidRPr="006C69B9" w:rsidRDefault="006C69B9" w:rsidP="006C69B9">
            <w:pPr>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77" w:type="dxa"/>
            <w:noWrap/>
            <w:hideMark/>
          </w:tcPr>
          <w:p w:rsidR="006C69B9" w:rsidRPr="006C69B9" w:rsidRDefault="006C69B9" w:rsidP="006C69B9">
            <w:pPr>
              <w:jc w:val="right"/>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88.750,00 КМ</w:t>
            </w:r>
          </w:p>
        </w:tc>
        <w:tc>
          <w:tcPr>
            <w:tcW w:w="1345" w:type="dxa"/>
            <w:noWrap/>
            <w:hideMark/>
          </w:tcPr>
          <w:p w:rsidR="006C69B9" w:rsidRPr="006C69B9" w:rsidRDefault="006C69B9" w:rsidP="006C69B9">
            <w:pPr>
              <w:cnfStyle w:val="0000000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r>
      <w:tr w:rsidR="00F85905" w:rsidRPr="006C69B9" w:rsidTr="006C69B9">
        <w:trPr>
          <w:cnfStyle w:val="000000100000"/>
          <w:trHeight w:val="587"/>
        </w:trPr>
        <w:tc>
          <w:tcPr>
            <w:cnfStyle w:val="001000000000"/>
            <w:tcW w:w="2219" w:type="dxa"/>
            <w:hideMark/>
          </w:tcPr>
          <w:p w:rsidR="006C69B9" w:rsidRPr="006C69B9" w:rsidRDefault="006C69B9" w:rsidP="006C69B9">
            <w:pPr>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Subv. Doškol. Stručno osposoblj. I prekv.</w:t>
            </w:r>
          </w:p>
        </w:tc>
        <w:tc>
          <w:tcPr>
            <w:tcW w:w="1377" w:type="dxa"/>
            <w:noWrap/>
            <w:hideMark/>
          </w:tcPr>
          <w:p w:rsidR="006C69B9" w:rsidRPr="006C69B9" w:rsidRDefault="006C69B9" w:rsidP="006C69B9">
            <w:pP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77" w:type="dxa"/>
            <w:noWrap/>
            <w:hideMark/>
          </w:tcPr>
          <w:p w:rsidR="006C69B9" w:rsidRPr="006C69B9" w:rsidRDefault="006C69B9" w:rsidP="006C69B9">
            <w:pP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45" w:type="dxa"/>
            <w:noWrap/>
            <w:hideMark/>
          </w:tcPr>
          <w:p w:rsidR="006C69B9" w:rsidRPr="006C69B9" w:rsidRDefault="006C69B9" w:rsidP="006C69B9">
            <w:pP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c>
          <w:tcPr>
            <w:tcW w:w="1377" w:type="dxa"/>
            <w:hideMark/>
          </w:tcPr>
          <w:p w:rsidR="006C69B9" w:rsidRPr="006C69B9" w:rsidRDefault="006C69B9" w:rsidP="006C69B9">
            <w:pPr>
              <w:jc w:val="right"/>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25.686,00 КМ</w:t>
            </w:r>
          </w:p>
        </w:tc>
        <w:tc>
          <w:tcPr>
            <w:tcW w:w="1345" w:type="dxa"/>
            <w:noWrap/>
            <w:hideMark/>
          </w:tcPr>
          <w:p w:rsidR="006C69B9" w:rsidRPr="006C69B9" w:rsidRDefault="006C69B9" w:rsidP="006C69B9">
            <w:pPr>
              <w:cnfStyle w:val="000000100000"/>
              <w:rPr>
                <w:rFonts w:ascii="Calibri" w:hAnsi="Calibri" w:cs="Calibri"/>
                <w:color w:val="000000"/>
                <w:sz w:val="18"/>
                <w:szCs w:val="18"/>
                <w:lang w:val="hr-BA" w:eastAsia="hr-BA"/>
              </w:rPr>
            </w:pPr>
            <w:r w:rsidRPr="006C69B9">
              <w:rPr>
                <w:rFonts w:ascii="Calibri" w:hAnsi="Calibri" w:cs="Calibri"/>
                <w:color w:val="000000"/>
                <w:sz w:val="18"/>
                <w:szCs w:val="18"/>
                <w:lang w:val="hr-BA" w:eastAsia="hr-BA"/>
              </w:rPr>
              <w:t> </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Evidencija Ministrstva za pitanja branitelja/boraca HNŽ/K</w:t>
      </w:r>
    </w:p>
    <w:p w:rsidR="006C69B9" w:rsidRPr="006C69B9" w:rsidRDefault="006C69B9" w:rsidP="006C69B9">
      <w:pPr>
        <w:spacing w:after="0" w:line="240" w:lineRule="auto"/>
        <w:jc w:val="both"/>
        <w:rPr>
          <w:rFonts w:ascii="Calibri" w:eastAsia="Calibri" w:hAnsi="Calibri" w:cs="Calibri"/>
          <w:lang w:val="hr-BA"/>
        </w:rPr>
      </w:pPr>
    </w:p>
    <w:p w:rsidR="006C69B9" w:rsidRPr="006C69B9" w:rsidRDefault="006C69B9" w:rsidP="006C69B9">
      <w:pPr>
        <w:spacing w:line="240" w:lineRule="auto"/>
        <w:jc w:val="both"/>
        <w:rPr>
          <w:rFonts w:ascii="Calibri" w:eastAsia="Calibri" w:hAnsi="Calibri" w:cs="Calibri"/>
          <w:lang w:val="bs-Latn-BA"/>
        </w:rPr>
      </w:pPr>
      <w:r w:rsidRPr="006C69B9">
        <w:rPr>
          <w:rFonts w:ascii="Calibri" w:eastAsia="Calibri" w:hAnsi="Calibri" w:cs="Calibri"/>
          <w:lang w:val="bs-Latn-BA"/>
        </w:rPr>
        <w:t>Program kroz sufinanciranje podrazumijeva zapošljavanje djece poginulih, umrlih i nestalih branitelja te djece ratnih vojnih invalida prijavljenih na evidenciji Službe za zapošljavanje uz zasnivanje radnog odnosa na razdoblje od 12 mjeseci. Ovom mjerom Služba poslodavcu mjesečno refundira iznos neto plaće za radno mjesto koje odgovara stupnju stručnog obrazovanja i to 800,00 KM za osobe sa završenim diplomskim i dodiplomskim studijem, i 600,00 KM za osobe sa ostalim stupnjem obrazovanja dok je poslodavac dužan na istu obračunati i platiti obvezne doprinose i poreze. Realizacija programa za 2020. je u tijeku.</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60. Broj uposlenih osoba prema Programu upošljavanja u 2017., 2018. i 2019. godini</w:t>
      </w:r>
    </w:p>
    <w:tbl>
      <w:tblPr>
        <w:tblStyle w:val="GridTable5Dark-Accent51"/>
        <w:tblW w:w="0" w:type="auto"/>
        <w:tblLook w:val="04A0"/>
      </w:tblPr>
      <w:tblGrid>
        <w:gridCol w:w="1807"/>
        <w:gridCol w:w="1811"/>
        <w:gridCol w:w="1802"/>
        <w:gridCol w:w="1801"/>
        <w:gridCol w:w="1819"/>
      </w:tblGrid>
      <w:tr w:rsidR="00F85905" w:rsidRPr="006C69B9" w:rsidTr="006C69B9">
        <w:trPr>
          <w:cnfStyle w:val="100000000000"/>
        </w:trPr>
        <w:tc>
          <w:tcPr>
            <w:cnfStyle w:val="001000000000"/>
            <w:tcW w:w="1807" w:type="dxa"/>
          </w:tcPr>
          <w:p w:rsidR="006C69B9" w:rsidRPr="006C69B9" w:rsidRDefault="006C69B9" w:rsidP="006C69B9">
            <w:pPr>
              <w:jc w:val="both"/>
              <w:rPr>
                <w:rFonts w:ascii="Calibri" w:eastAsia="Calibri" w:hAnsi="Calibri" w:cs="Calibri"/>
                <w:sz w:val="20"/>
                <w:szCs w:val="20"/>
                <w:lang w:val="bs-Latn-BA"/>
              </w:rPr>
            </w:pPr>
            <w:r w:rsidRPr="006C69B9">
              <w:rPr>
                <w:rFonts w:ascii="Calibri" w:eastAsia="Calibri" w:hAnsi="Calibri" w:cs="Calibri"/>
                <w:sz w:val="20"/>
                <w:szCs w:val="20"/>
                <w:lang w:val="bs-Latn-BA"/>
              </w:rPr>
              <w:t>Godina</w:t>
            </w:r>
          </w:p>
        </w:tc>
        <w:tc>
          <w:tcPr>
            <w:tcW w:w="1811" w:type="dxa"/>
          </w:tcPr>
          <w:p w:rsidR="006C69B9" w:rsidRPr="006C69B9" w:rsidRDefault="006C69B9" w:rsidP="006C69B9">
            <w:pPr>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Djeca poginulih branitelja</w:t>
            </w:r>
          </w:p>
        </w:tc>
        <w:tc>
          <w:tcPr>
            <w:tcW w:w="1802" w:type="dxa"/>
          </w:tcPr>
          <w:p w:rsidR="006C69B9" w:rsidRPr="006C69B9" w:rsidRDefault="006C69B9" w:rsidP="006C69B9">
            <w:pPr>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Djeca ratnih vojnih invalida</w:t>
            </w:r>
          </w:p>
        </w:tc>
        <w:tc>
          <w:tcPr>
            <w:tcW w:w="1801" w:type="dxa"/>
          </w:tcPr>
          <w:p w:rsidR="006C69B9" w:rsidRPr="006C69B9" w:rsidRDefault="006C69B9" w:rsidP="006C69B9">
            <w:pPr>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Ukupan broj</w:t>
            </w:r>
          </w:p>
        </w:tc>
        <w:tc>
          <w:tcPr>
            <w:tcW w:w="1819" w:type="dxa"/>
          </w:tcPr>
          <w:p w:rsidR="006C69B9" w:rsidRPr="006C69B9" w:rsidRDefault="006C69B9" w:rsidP="006C69B9">
            <w:pPr>
              <w:jc w:val="both"/>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Utrošeni novčani iznos</w:t>
            </w:r>
          </w:p>
        </w:tc>
      </w:tr>
      <w:tr w:rsidR="00F85905" w:rsidRPr="006C69B9" w:rsidTr="006C69B9">
        <w:trPr>
          <w:cnfStyle w:val="000000100000"/>
        </w:trPr>
        <w:tc>
          <w:tcPr>
            <w:cnfStyle w:val="001000000000"/>
            <w:tcW w:w="1807" w:type="dxa"/>
          </w:tcPr>
          <w:p w:rsidR="006C69B9" w:rsidRPr="006C69B9" w:rsidRDefault="006C69B9" w:rsidP="006C69B9">
            <w:pPr>
              <w:jc w:val="both"/>
              <w:rPr>
                <w:rFonts w:ascii="Calibri" w:eastAsia="Calibri" w:hAnsi="Calibri" w:cs="Calibri"/>
                <w:sz w:val="20"/>
                <w:szCs w:val="20"/>
                <w:lang w:val="bs-Latn-BA"/>
              </w:rPr>
            </w:pPr>
            <w:r w:rsidRPr="006C69B9">
              <w:rPr>
                <w:rFonts w:ascii="Calibri" w:eastAsia="Calibri" w:hAnsi="Calibri" w:cs="Calibri"/>
                <w:sz w:val="20"/>
                <w:szCs w:val="20"/>
                <w:lang w:val="bs-Latn-BA"/>
              </w:rPr>
              <w:t>2017.</w:t>
            </w:r>
          </w:p>
        </w:tc>
        <w:tc>
          <w:tcPr>
            <w:tcW w:w="1811" w:type="dxa"/>
          </w:tcPr>
          <w:p w:rsidR="006C69B9" w:rsidRPr="006C69B9" w:rsidRDefault="006C69B9" w:rsidP="006C69B9">
            <w:pPr>
              <w:jc w:val="both"/>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36</w:t>
            </w:r>
          </w:p>
        </w:tc>
        <w:tc>
          <w:tcPr>
            <w:tcW w:w="1802" w:type="dxa"/>
          </w:tcPr>
          <w:p w:rsidR="006C69B9" w:rsidRPr="006C69B9" w:rsidRDefault="006C69B9" w:rsidP="006C69B9">
            <w:pPr>
              <w:jc w:val="both"/>
              <w:cnfStyle w:val="000000100000"/>
              <w:rPr>
                <w:rFonts w:ascii="Calibri" w:eastAsia="Calibri" w:hAnsi="Calibri" w:cs="Calibri"/>
                <w:sz w:val="20"/>
                <w:szCs w:val="20"/>
                <w:lang w:val="bs-Latn-BA"/>
              </w:rPr>
            </w:pPr>
          </w:p>
        </w:tc>
        <w:tc>
          <w:tcPr>
            <w:tcW w:w="1801" w:type="dxa"/>
          </w:tcPr>
          <w:p w:rsidR="006C69B9" w:rsidRPr="006C69B9" w:rsidRDefault="006C69B9" w:rsidP="006C69B9">
            <w:pPr>
              <w:jc w:val="both"/>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36</w:t>
            </w:r>
          </w:p>
        </w:tc>
        <w:tc>
          <w:tcPr>
            <w:tcW w:w="1819" w:type="dxa"/>
          </w:tcPr>
          <w:p w:rsidR="006C69B9" w:rsidRPr="006C69B9" w:rsidRDefault="006C69B9" w:rsidP="006C69B9">
            <w:pPr>
              <w:jc w:val="both"/>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278.400,00 KM</w:t>
            </w:r>
          </w:p>
        </w:tc>
      </w:tr>
      <w:tr w:rsidR="00F85905" w:rsidRPr="006C69B9" w:rsidTr="006C69B9">
        <w:tc>
          <w:tcPr>
            <w:cnfStyle w:val="001000000000"/>
            <w:tcW w:w="1807" w:type="dxa"/>
          </w:tcPr>
          <w:p w:rsidR="006C69B9" w:rsidRPr="006C69B9" w:rsidRDefault="006C69B9" w:rsidP="006C69B9">
            <w:pPr>
              <w:jc w:val="both"/>
              <w:rPr>
                <w:rFonts w:ascii="Calibri" w:eastAsia="Calibri" w:hAnsi="Calibri" w:cs="Calibri"/>
                <w:sz w:val="20"/>
                <w:szCs w:val="20"/>
                <w:lang w:val="bs-Latn-BA"/>
              </w:rPr>
            </w:pPr>
            <w:r w:rsidRPr="006C69B9">
              <w:rPr>
                <w:rFonts w:ascii="Calibri" w:eastAsia="Calibri" w:hAnsi="Calibri" w:cs="Calibri"/>
                <w:sz w:val="20"/>
                <w:szCs w:val="20"/>
                <w:lang w:val="bs-Latn-BA"/>
              </w:rPr>
              <w:t>2018.</w:t>
            </w:r>
          </w:p>
        </w:tc>
        <w:tc>
          <w:tcPr>
            <w:tcW w:w="1811" w:type="dxa"/>
          </w:tcPr>
          <w:p w:rsidR="006C69B9" w:rsidRPr="006C69B9" w:rsidRDefault="006C69B9" w:rsidP="006C69B9">
            <w:pPr>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26</w:t>
            </w:r>
          </w:p>
        </w:tc>
        <w:tc>
          <w:tcPr>
            <w:tcW w:w="1802" w:type="dxa"/>
          </w:tcPr>
          <w:p w:rsidR="006C69B9" w:rsidRPr="006C69B9" w:rsidRDefault="006C69B9" w:rsidP="006C69B9">
            <w:pPr>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16</w:t>
            </w:r>
          </w:p>
        </w:tc>
        <w:tc>
          <w:tcPr>
            <w:tcW w:w="1801" w:type="dxa"/>
          </w:tcPr>
          <w:p w:rsidR="006C69B9" w:rsidRPr="006C69B9" w:rsidRDefault="006C69B9" w:rsidP="006C69B9">
            <w:pPr>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42</w:t>
            </w:r>
          </w:p>
        </w:tc>
        <w:tc>
          <w:tcPr>
            <w:tcW w:w="1819" w:type="dxa"/>
          </w:tcPr>
          <w:p w:rsidR="006C69B9" w:rsidRPr="006C69B9" w:rsidRDefault="006C69B9" w:rsidP="006C69B9">
            <w:pPr>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338.400,00 KM</w:t>
            </w:r>
          </w:p>
        </w:tc>
      </w:tr>
      <w:tr w:rsidR="00F85905" w:rsidRPr="006C69B9" w:rsidTr="006C69B9">
        <w:trPr>
          <w:cnfStyle w:val="000000100000"/>
        </w:trPr>
        <w:tc>
          <w:tcPr>
            <w:cnfStyle w:val="001000000000"/>
            <w:tcW w:w="1807" w:type="dxa"/>
          </w:tcPr>
          <w:p w:rsidR="006C69B9" w:rsidRPr="006C69B9" w:rsidRDefault="006C69B9" w:rsidP="006C69B9">
            <w:pPr>
              <w:jc w:val="both"/>
              <w:rPr>
                <w:rFonts w:ascii="Calibri" w:eastAsia="Calibri" w:hAnsi="Calibri" w:cs="Calibri"/>
                <w:sz w:val="20"/>
                <w:szCs w:val="20"/>
                <w:lang w:val="bs-Latn-BA"/>
              </w:rPr>
            </w:pPr>
            <w:r w:rsidRPr="006C69B9">
              <w:rPr>
                <w:rFonts w:ascii="Calibri" w:eastAsia="Calibri" w:hAnsi="Calibri" w:cs="Calibri"/>
                <w:sz w:val="20"/>
                <w:szCs w:val="20"/>
                <w:lang w:val="bs-Latn-BA"/>
              </w:rPr>
              <w:t>2019.</w:t>
            </w:r>
          </w:p>
        </w:tc>
        <w:tc>
          <w:tcPr>
            <w:tcW w:w="1811" w:type="dxa"/>
          </w:tcPr>
          <w:p w:rsidR="006C69B9" w:rsidRPr="006C69B9" w:rsidRDefault="006C69B9" w:rsidP="006C69B9">
            <w:pPr>
              <w:jc w:val="both"/>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19</w:t>
            </w:r>
          </w:p>
        </w:tc>
        <w:tc>
          <w:tcPr>
            <w:tcW w:w="1802" w:type="dxa"/>
          </w:tcPr>
          <w:p w:rsidR="006C69B9" w:rsidRPr="006C69B9" w:rsidRDefault="006C69B9" w:rsidP="006C69B9">
            <w:pPr>
              <w:jc w:val="both"/>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20</w:t>
            </w:r>
          </w:p>
        </w:tc>
        <w:tc>
          <w:tcPr>
            <w:tcW w:w="1801" w:type="dxa"/>
          </w:tcPr>
          <w:p w:rsidR="006C69B9" w:rsidRPr="006C69B9" w:rsidRDefault="006C69B9" w:rsidP="006C69B9">
            <w:pPr>
              <w:jc w:val="both"/>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39</w:t>
            </w:r>
          </w:p>
        </w:tc>
        <w:tc>
          <w:tcPr>
            <w:tcW w:w="1819" w:type="dxa"/>
          </w:tcPr>
          <w:p w:rsidR="006C69B9" w:rsidRPr="006C69B9" w:rsidRDefault="006C69B9" w:rsidP="006C69B9">
            <w:pPr>
              <w:jc w:val="both"/>
              <w:cnfStyle w:val="000000100000"/>
              <w:rPr>
                <w:rFonts w:ascii="Calibri" w:eastAsia="Calibri" w:hAnsi="Calibri" w:cs="Calibri"/>
                <w:sz w:val="20"/>
                <w:szCs w:val="20"/>
                <w:lang w:val="bs-Latn-BA"/>
              </w:rPr>
            </w:pPr>
            <w:r w:rsidRPr="006C69B9">
              <w:rPr>
                <w:rFonts w:ascii="Calibri" w:eastAsia="Calibri" w:hAnsi="Calibri" w:cs="Calibri"/>
                <w:color w:val="000000"/>
                <w:sz w:val="20"/>
                <w:szCs w:val="20"/>
                <w:lang w:val="bs-Latn-BA"/>
              </w:rPr>
              <w:t>304.800,00 KM</w:t>
            </w:r>
          </w:p>
        </w:tc>
      </w:tr>
      <w:tr w:rsidR="00F85905" w:rsidRPr="006C69B9" w:rsidTr="006C69B9">
        <w:tc>
          <w:tcPr>
            <w:cnfStyle w:val="001000000000"/>
            <w:tcW w:w="1807" w:type="dxa"/>
          </w:tcPr>
          <w:p w:rsidR="006C69B9" w:rsidRPr="006C69B9" w:rsidRDefault="006C69B9" w:rsidP="006C69B9">
            <w:pPr>
              <w:jc w:val="both"/>
              <w:rPr>
                <w:rFonts w:ascii="Calibri" w:eastAsia="Calibri" w:hAnsi="Calibri" w:cs="Calibri"/>
                <w:sz w:val="20"/>
                <w:szCs w:val="20"/>
                <w:lang w:val="bs-Latn-BA"/>
              </w:rPr>
            </w:pPr>
            <w:r w:rsidRPr="006C69B9">
              <w:rPr>
                <w:rFonts w:ascii="Calibri" w:eastAsia="Calibri" w:hAnsi="Calibri" w:cs="Calibri"/>
                <w:sz w:val="20"/>
                <w:szCs w:val="20"/>
                <w:lang w:val="bs-Latn-BA"/>
              </w:rPr>
              <w:t>UKUPNO</w:t>
            </w:r>
          </w:p>
        </w:tc>
        <w:tc>
          <w:tcPr>
            <w:tcW w:w="1811" w:type="dxa"/>
          </w:tcPr>
          <w:p w:rsidR="006C69B9" w:rsidRPr="006C69B9" w:rsidRDefault="006C69B9" w:rsidP="006C69B9">
            <w:pPr>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81</w:t>
            </w:r>
          </w:p>
        </w:tc>
        <w:tc>
          <w:tcPr>
            <w:tcW w:w="1802" w:type="dxa"/>
          </w:tcPr>
          <w:p w:rsidR="006C69B9" w:rsidRPr="006C69B9" w:rsidRDefault="006C69B9" w:rsidP="006C69B9">
            <w:pPr>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36</w:t>
            </w:r>
          </w:p>
        </w:tc>
        <w:tc>
          <w:tcPr>
            <w:tcW w:w="1801" w:type="dxa"/>
          </w:tcPr>
          <w:p w:rsidR="006C69B9" w:rsidRPr="006C69B9" w:rsidRDefault="006C69B9" w:rsidP="006C69B9">
            <w:pPr>
              <w:jc w:val="both"/>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117</w:t>
            </w:r>
          </w:p>
        </w:tc>
        <w:tc>
          <w:tcPr>
            <w:tcW w:w="1819" w:type="dxa"/>
          </w:tcPr>
          <w:p w:rsidR="006C69B9" w:rsidRPr="006C69B9" w:rsidRDefault="006C69B9" w:rsidP="006C69B9">
            <w:pPr>
              <w:jc w:val="both"/>
              <w:cnfStyle w:val="000000000000"/>
              <w:rPr>
                <w:rFonts w:ascii="Calibri" w:eastAsia="Calibri" w:hAnsi="Calibri" w:cs="Calibri"/>
                <w:color w:val="000000"/>
                <w:sz w:val="20"/>
                <w:szCs w:val="20"/>
                <w:lang w:val="bs-Latn-BA"/>
              </w:rPr>
            </w:pPr>
            <w:r w:rsidRPr="006C69B9">
              <w:rPr>
                <w:rFonts w:ascii="Calibri" w:eastAsia="Calibri" w:hAnsi="Calibri" w:cs="Calibri"/>
                <w:color w:val="000000"/>
                <w:sz w:val="20"/>
                <w:szCs w:val="20"/>
                <w:lang w:val="bs-Latn-BA"/>
              </w:rPr>
              <w:t>921.600,00 KM</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Evidencija Ministrstva za pitanja branitelja/boraca HNŽ/K</w:t>
      </w:r>
    </w:p>
    <w:p w:rsidR="006C69B9" w:rsidRPr="006C69B9" w:rsidRDefault="006C69B9" w:rsidP="006C69B9">
      <w:pPr>
        <w:spacing w:line="240" w:lineRule="auto"/>
        <w:jc w:val="both"/>
        <w:rPr>
          <w:rFonts w:ascii="Calibri" w:eastAsia="Calibri" w:hAnsi="Calibri" w:cs="Calibri"/>
          <w:lang w:val="bs-Latn-BA"/>
        </w:rPr>
      </w:pPr>
      <w:r w:rsidRPr="006C69B9">
        <w:rPr>
          <w:rFonts w:ascii="Calibri" w:eastAsia="Calibri" w:hAnsi="Calibri" w:cs="Calibri"/>
          <w:lang w:val="bs-Latn-BA"/>
        </w:rPr>
        <w:t xml:space="preserve">Izdatci za osobne i obiteljske inviladnine ovise o ukupnom broju korisnika. U 2019. godini evidentirano je 10.149 korisnika, a izdvojeno je 36.903.629,41 KM.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61. Broj korisnika i izdvajanja za invalidnine 2016.-2020.</w:t>
      </w:r>
    </w:p>
    <w:tbl>
      <w:tblPr>
        <w:tblStyle w:val="GridTable5Dark-Accent51"/>
        <w:tblW w:w="9084" w:type="dxa"/>
        <w:tblLayout w:type="fixed"/>
        <w:tblLook w:val="04A0"/>
      </w:tblPr>
      <w:tblGrid>
        <w:gridCol w:w="3019"/>
        <w:gridCol w:w="1213"/>
        <w:gridCol w:w="1213"/>
        <w:gridCol w:w="1213"/>
        <w:gridCol w:w="1213"/>
        <w:gridCol w:w="1213"/>
      </w:tblGrid>
      <w:tr w:rsidR="00F85905" w:rsidRPr="006C69B9" w:rsidTr="006C69B9">
        <w:trPr>
          <w:cnfStyle w:val="100000000000"/>
          <w:trHeight w:val="231"/>
        </w:trPr>
        <w:tc>
          <w:tcPr>
            <w:cnfStyle w:val="001000000000"/>
            <w:tcW w:w="3019" w:type="dxa"/>
          </w:tcPr>
          <w:p w:rsidR="006C69B9" w:rsidRPr="006C69B9" w:rsidRDefault="006C69B9" w:rsidP="006C69B9">
            <w:pPr>
              <w:rPr>
                <w:rFonts w:ascii="Calibri" w:eastAsia="Calibri" w:hAnsi="Calibri" w:cs="Times New Roman"/>
                <w:sz w:val="20"/>
                <w:szCs w:val="20"/>
                <w:lang w:val="bs-Latn-BA"/>
              </w:rPr>
            </w:pPr>
          </w:p>
        </w:tc>
        <w:tc>
          <w:tcPr>
            <w:tcW w:w="121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121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21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21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c>
          <w:tcPr>
            <w:tcW w:w="121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2020 (I-IX)</w:t>
            </w:r>
          </w:p>
        </w:tc>
      </w:tr>
      <w:tr w:rsidR="00F85905" w:rsidRPr="006C69B9" w:rsidTr="006C69B9">
        <w:trPr>
          <w:cnfStyle w:val="000000100000"/>
          <w:trHeight w:val="231"/>
        </w:trPr>
        <w:tc>
          <w:tcPr>
            <w:cnfStyle w:val="001000000000"/>
            <w:tcW w:w="301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iznos invalidnine u KM</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34.675.356,27</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32.599.642,97</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34.094.805,42</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36.903.629,41</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24.664.381,22</w:t>
            </w:r>
          </w:p>
        </w:tc>
      </w:tr>
      <w:tr w:rsidR="00F85905" w:rsidRPr="006C69B9" w:rsidTr="006C69B9">
        <w:trPr>
          <w:trHeight w:val="231"/>
        </w:trPr>
        <w:tc>
          <w:tcPr>
            <w:cnfStyle w:val="001000000000"/>
            <w:tcW w:w="301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 xml:space="preserve">Ukupan broj korisnika </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10.427</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10.211</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10.216</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10.149</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10.075</w:t>
            </w:r>
          </w:p>
        </w:tc>
      </w:tr>
      <w:tr w:rsidR="00F85905" w:rsidRPr="006C69B9" w:rsidTr="006C69B9">
        <w:trPr>
          <w:cnfStyle w:val="000000100000"/>
          <w:trHeight w:val="231"/>
        </w:trPr>
        <w:tc>
          <w:tcPr>
            <w:cnfStyle w:val="001000000000"/>
            <w:tcW w:w="301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broj korisnika- osobna invali.</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7.272</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7.167</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7.152</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7.093</w:t>
            </w:r>
          </w:p>
        </w:tc>
        <w:tc>
          <w:tcPr>
            <w:tcW w:w="1213" w:type="dxa"/>
          </w:tcPr>
          <w:p w:rsidR="006C69B9" w:rsidRPr="006C69B9" w:rsidRDefault="006C69B9" w:rsidP="006C69B9">
            <w:pP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6.973</w:t>
            </w:r>
          </w:p>
        </w:tc>
      </w:tr>
      <w:tr w:rsidR="00F85905" w:rsidRPr="006C69B9" w:rsidTr="006C69B9">
        <w:trPr>
          <w:trHeight w:val="231"/>
        </w:trPr>
        <w:tc>
          <w:tcPr>
            <w:cnfStyle w:val="001000000000"/>
            <w:tcW w:w="3019" w:type="dxa"/>
          </w:tcPr>
          <w:p w:rsidR="006C69B9" w:rsidRPr="006C69B9" w:rsidRDefault="006C69B9" w:rsidP="006C69B9">
            <w:pPr>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Ukupan broj korisnika- obiteljska invali.</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3.155</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3.044</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3.064</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3.056</w:t>
            </w:r>
          </w:p>
        </w:tc>
        <w:tc>
          <w:tcPr>
            <w:tcW w:w="1213" w:type="dxa"/>
          </w:tcPr>
          <w:p w:rsidR="006C69B9" w:rsidRPr="006C69B9" w:rsidRDefault="006C69B9" w:rsidP="006C69B9">
            <w:pP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3.102</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Evidencija Ministrstva za pitanja branitelja/boraca HNŽ/K</w:t>
      </w:r>
    </w:p>
    <w:p w:rsidR="006C69B9" w:rsidRPr="006C69B9" w:rsidRDefault="006C69B9" w:rsidP="006C69B9">
      <w:pPr>
        <w:shd w:val="clear" w:color="auto" w:fill="FFFFFF"/>
        <w:spacing w:after="0" w:line="240" w:lineRule="auto"/>
        <w:textAlignment w:val="baseline"/>
        <w:rPr>
          <w:rFonts w:ascii="Calibri" w:eastAsia="Times New Roman" w:hAnsi="Calibri" w:cs="Calibri"/>
          <w:b/>
          <w:color w:val="201F1E"/>
          <w:lang w:eastAsia="hr-HR"/>
        </w:rPr>
      </w:pPr>
    </w:p>
    <w:p w:rsidR="006C69B9" w:rsidRPr="006C69B9" w:rsidRDefault="006C69B9" w:rsidP="006C69B9">
      <w:pPr>
        <w:shd w:val="clear" w:color="auto" w:fill="FFFFFF"/>
        <w:spacing w:after="0" w:line="240" w:lineRule="auto"/>
        <w:jc w:val="both"/>
        <w:textAlignment w:val="baseline"/>
        <w:rPr>
          <w:rFonts w:ascii="Calibri" w:eastAsia="Times New Roman" w:hAnsi="Calibri" w:cs="Calibri"/>
          <w:color w:val="201F1E"/>
          <w:lang w:eastAsia="hr-HR"/>
        </w:rPr>
      </w:pPr>
      <w:r w:rsidRPr="006C69B9">
        <w:rPr>
          <w:rFonts w:ascii="Calibri" w:eastAsia="Times New Roman" w:hAnsi="Calibri" w:cs="Calibri"/>
          <w:b/>
          <w:color w:val="201F1E"/>
          <w:lang w:eastAsia="hr-HR"/>
        </w:rPr>
        <w:t>Na evidenciji Službe za zapošljavanje HNŽ,</w:t>
      </w:r>
      <w:r w:rsidRPr="006C69B9">
        <w:rPr>
          <w:rFonts w:ascii="Calibri" w:eastAsia="Times New Roman" w:hAnsi="Calibri" w:cs="Calibri"/>
          <w:bCs/>
          <w:color w:val="201F1E"/>
          <w:lang w:eastAsia="hr-HR"/>
        </w:rPr>
        <w:t xml:space="preserve"> (</w:t>
      </w:r>
      <w:r w:rsidRPr="006C69B9">
        <w:rPr>
          <w:rFonts w:ascii="Calibri" w:eastAsia="Times New Roman" w:hAnsi="Calibri" w:cs="Calibri"/>
          <w:color w:val="201F1E"/>
          <w:lang w:eastAsia="hr-HR"/>
        </w:rPr>
        <w:t xml:space="preserve"> podatak iz Programa stručnog osposobljavanja veljača 2019. godine ) nalazi se 4.207 razvojačenih branitelja od ukupno 30.451 nezaposlenih osoba;</w:t>
      </w:r>
    </w:p>
    <w:p w:rsidR="006C69B9" w:rsidRPr="006C69B9" w:rsidRDefault="006C69B9" w:rsidP="006C69B9">
      <w:pPr>
        <w:shd w:val="clear" w:color="auto" w:fill="FFFFFF"/>
        <w:spacing w:after="0" w:line="240" w:lineRule="auto"/>
        <w:jc w:val="both"/>
        <w:textAlignment w:val="baseline"/>
        <w:rPr>
          <w:rFonts w:ascii="Calibri" w:eastAsia="Times New Roman" w:hAnsi="Calibri" w:cs="Calibri"/>
          <w:color w:val="201F1E"/>
          <w:lang w:eastAsia="hr-HR"/>
        </w:rPr>
      </w:pPr>
    </w:p>
    <w:p w:rsidR="006C69B9" w:rsidRPr="006C69B9" w:rsidRDefault="006C69B9" w:rsidP="006C69B9">
      <w:pPr>
        <w:shd w:val="clear" w:color="auto" w:fill="FFFFFF"/>
        <w:spacing w:after="0" w:line="240" w:lineRule="auto"/>
        <w:jc w:val="both"/>
        <w:textAlignment w:val="baseline"/>
        <w:rPr>
          <w:rFonts w:ascii="Calibri" w:eastAsia="Times New Roman" w:hAnsi="Calibri" w:cs="Calibri"/>
          <w:color w:val="201F1E"/>
          <w:lang w:eastAsia="hr-HR"/>
        </w:rPr>
      </w:pPr>
      <w:r w:rsidRPr="006C69B9">
        <w:rPr>
          <w:rFonts w:ascii="Calibri" w:eastAsia="Times New Roman" w:hAnsi="Calibri" w:cs="Calibri"/>
          <w:b/>
          <w:color w:val="201F1E"/>
          <w:lang w:eastAsia="hr-HR"/>
        </w:rPr>
        <w:lastRenderedPageBreak/>
        <w:t>Broj stambeno zbrinutih osoba braniteljskog statusa</w:t>
      </w:r>
      <w:r w:rsidRPr="006C69B9">
        <w:rPr>
          <w:rFonts w:ascii="Calibri" w:eastAsia="Times New Roman" w:hAnsi="Calibri" w:cs="Calibri"/>
          <w:color w:val="201F1E"/>
          <w:lang w:eastAsia="hr-HR"/>
        </w:rPr>
        <w:t xml:space="preserve"> : 77 korisnika u 77 stambenih jedinica na području Grada Mostara;</w:t>
      </w:r>
    </w:p>
    <w:p w:rsidR="006C69B9" w:rsidRPr="006C69B9" w:rsidRDefault="006C69B9" w:rsidP="006C69B9">
      <w:pPr>
        <w:shd w:val="clear" w:color="auto" w:fill="FFFFFF"/>
        <w:spacing w:after="0" w:line="240" w:lineRule="auto"/>
        <w:jc w:val="both"/>
        <w:textAlignment w:val="baseline"/>
        <w:rPr>
          <w:rFonts w:ascii="Calibri" w:eastAsia="Calibri" w:hAnsi="Calibri" w:cs="Times New Roman"/>
          <w:lang w:val="bs-Latn-BA"/>
        </w:rPr>
      </w:pPr>
      <w:r w:rsidRPr="006C69B9">
        <w:rPr>
          <w:rFonts w:ascii="Calibri" w:eastAsia="Calibri" w:hAnsi="Calibri" w:cs="Times New Roman"/>
          <w:lang w:val="bs-Latn-BA"/>
        </w:rPr>
        <w:t>Uspostaviti mehanizme učinkovite komunikacije javne uprave s građanima te stvoriti partnerstvo sa sektorom civilnog društva u implementaciji razvojnih politika</w:t>
      </w:r>
    </w:p>
    <w:p w:rsidR="006C69B9" w:rsidRPr="006C69B9" w:rsidRDefault="006C69B9" w:rsidP="006C69B9">
      <w:pPr>
        <w:shd w:val="clear" w:color="auto" w:fill="FFFFFF"/>
        <w:spacing w:after="0" w:line="240" w:lineRule="auto"/>
        <w:textAlignment w:val="baseline"/>
        <w:rPr>
          <w:rFonts w:ascii="Calibri" w:eastAsia="Calibri" w:hAnsi="Calibri" w:cs="Times New Roman"/>
          <w:lang w:val="bs-Latn-BA"/>
        </w:rPr>
      </w:pP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80" w:name="_Toc53350362"/>
      <w:bookmarkStart w:id="81" w:name="_Toc57573232"/>
      <w:bookmarkStart w:id="82" w:name="Sigurnostgrađana"/>
      <w:r w:rsidRPr="006C69B9">
        <w:rPr>
          <w:rFonts w:ascii="Calibri" w:eastAsia="Calibri" w:hAnsi="Calibri" w:cs="Times New Roman"/>
          <w:b/>
          <w:bCs/>
          <w:iCs/>
          <w:color w:val="31849B"/>
          <w:sz w:val="24"/>
          <w:szCs w:val="28"/>
          <w:lang w:eastAsia="hr-HR"/>
        </w:rPr>
        <w:t>Sigurnost građana</w:t>
      </w:r>
      <w:bookmarkEnd w:id="80"/>
      <w:bookmarkEnd w:id="81"/>
    </w:p>
    <w:p w:rsidR="006C69B9" w:rsidRPr="006C69B9" w:rsidRDefault="006C69B9" w:rsidP="006C69B9">
      <w:pPr>
        <w:rPr>
          <w:rFonts w:ascii="Calibri" w:eastAsia="Calibri" w:hAnsi="Calibri" w:cs="Times New Roman"/>
          <w:lang w:eastAsia="hr-HR"/>
        </w:rPr>
      </w:pP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Sigurnost građana je važna pretpostavka održivom razvoju društva na svim razinama. Poslove i zadatke javne sigurnosti u Hercegovačko-neretvanskoj županiji obavlja Ministarstvo unutarnjih poslova. Zakonom o unutarnjim poslovima Hercegovačko-neretvanske županije (</w:t>
      </w:r>
      <w:r w:rsidRPr="006C69B9">
        <w:rPr>
          <w:rFonts w:ascii="Calibri" w:eastAsia="Calibri" w:hAnsi="Calibri" w:cs="Calibri"/>
          <w:lang w:val="bs-Latn-BA"/>
        </w:rPr>
        <w:sym w:font="Symbol" w:char="00B2"/>
      </w:r>
      <w:r w:rsidRPr="006C69B9">
        <w:rPr>
          <w:rFonts w:ascii="Calibri" w:eastAsia="Calibri" w:hAnsi="Calibri" w:cs="Calibri"/>
          <w:lang w:val="bs-Latn-BA"/>
        </w:rPr>
        <w:t xml:space="preserve">Narodne novine HNŽ" br. 2/98, 4/01, 3/02, 1/03, 2/06, 5/08 i 6/08) utvrđeni su unutarnji poslovi iz nadležnosti Hercegovačko-neretvanske županije koje Ministarstvo unutarnjih poslova Hercegovačko-neretvanske županije-kantona obavlja preko svojih 67 organizacijskih jedinica. Prema navedenom Zakonu Ministarstvo kao jedan od čimbenika javne sigurnosti usmjereno je na poslove i zadatake neposrednog provođenja zakona, zaštite života i osobne sigurnosti ljudi, zaštite imovine, održavanje javnog reda i mira, spriječavanje i otkrivanje kaznenih djela, pronalaženje i uhićenje počinitelja kaznenih djela i njihovo privođenje nadležnim tijelima kada to nije u nadležnosti sudske policije, obavljanje kriminalističko-tehničkih poslova, poslove kontrole i reguliranja prometa na cestama, poslove i zadatke javne sigurnosti u cestovnom i željezničkom prometu. </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Segment javne sigurnosti građana na području Hercegovačko-neretvanske županije predstavljen je kroz analizu kriminaliteta, javnog reda i mira i analizu sigurnosti cestovnog prometa za period 2015. do 2019. godina, kako slijedi:</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Stanje kriminaliteta tijekom perioda 2015. do 2019. godina karakterizira trend smanjenja broja kaznenih djela i prijavljenih osoba. U 2019. godini zabilježeno je 929 kaznenih djela što je smanjenje ukupnog broja kaznenih djela za 473 (ili 33,7%) u odnosu na 2015. godinu. U strukturi navedenog višegodišnjeg prosjeka dominiraju kaznena djela protiv imovine - oko 60% (najčešće krađe i teške krađe). Pored imovinskih delikata značajan udio imaju kaznena djela protiv sigurnosti javnog prometa -oko 8% (među kojima je najviše teških kaznenih djela protiv sigurnosti javnog prometa), kaznena djela protiv zdravlja ljudi – oko 5% (posjedovanje i omogućavanje uživanja opojnih droga, te neovlaštena proizvodnja i stavljanje u promet opojnih droga), kaznena djela protiv života i tijela - oko 5% (među kojima je najviše teških tjelesnih ozljeda i lakih tjelesnih ozljeda) itd. Broj osoba protiv kojih je mjerodavnom tužiteljstvu podneseno izvješće o počinjenom kaznenom djelu smanjen je sa 795 (2015. godina) na 507 (2019. godina) dok je broj maloljetnih počinitelja u porastu, pa je sa 13 počinitelja (2015. godina), 10 počinitelja (2016. godina), 4 počinitelja (2017. godina), 5 počinitelja (2018. godina) došlo do 15 počinitelja u 2019. godini. Promatrano po policijskim upravama najveći broj kaznenih djela se dogodio na području PU Mostar - 44% kaznenih djela, zatim slijedi Policijska uprava Konjic – sa 29% kaznenih djela, te Policijska uprava Čapljina – sa 19% kaznenih djela, a 8% kaznenih djela je prema liniji rada bilo u nadležnosti Sektora kriminalističke policije.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62. Broj kaznenih djela i prijavljenih osoba od 2015 – 2019.  </w:t>
      </w:r>
    </w:p>
    <w:tbl>
      <w:tblPr>
        <w:tblStyle w:val="GridTable5Dark-Accent51"/>
        <w:tblW w:w="0" w:type="auto"/>
        <w:jc w:val="center"/>
        <w:tblLook w:val="04A0"/>
      </w:tblPr>
      <w:tblGrid>
        <w:gridCol w:w="1117"/>
        <w:gridCol w:w="2986"/>
        <w:gridCol w:w="3972"/>
      </w:tblGrid>
      <w:tr w:rsidR="00F85905" w:rsidRPr="006C69B9" w:rsidTr="006C69B9">
        <w:trPr>
          <w:cnfStyle w:val="100000000000"/>
          <w:trHeight w:val="413"/>
          <w:jc w:val="center"/>
        </w:trPr>
        <w:tc>
          <w:tcPr>
            <w:cnfStyle w:val="001000000000"/>
            <w:tcW w:w="1117"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Period</w:t>
            </w:r>
          </w:p>
        </w:tc>
        <w:tc>
          <w:tcPr>
            <w:tcW w:w="2986" w:type="dxa"/>
            <w:hideMark/>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kaznenih djela</w:t>
            </w:r>
          </w:p>
        </w:tc>
        <w:tc>
          <w:tcPr>
            <w:tcW w:w="3972" w:type="dxa"/>
            <w:hideMark/>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prijavljenih osoba</w:t>
            </w:r>
          </w:p>
        </w:tc>
      </w:tr>
      <w:tr w:rsidR="00F85905" w:rsidRPr="006C69B9" w:rsidTr="006C69B9">
        <w:trPr>
          <w:cnfStyle w:val="000000100000"/>
          <w:trHeight w:val="277"/>
          <w:jc w:val="center"/>
        </w:trPr>
        <w:tc>
          <w:tcPr>
            <w:cnfStyle w:val="001000000000"/>
            <w:tcW w:w="1117"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2015.</w:t>
            </w:r>
          </w:p>
        </w:tc>
        <w:tc>
          <w:tcPr>
            <w:tcW w:w="2986"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1402</w:t>
            </w:r>
          </w:p>
        </w:tc>
        <w:tc>
          <w:tcPr>
            <w:tcW w:w="3972"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795</w:t>
            </w:r>
          </w:p>
        </w:tc>
      </w:tr>
      <w:tr w:rsidR="00F85905" w:rsidRPr="006C69B9" w:rsidTr="006C69B9">
        <w:trPr>
          <w:trHeight w:val="281"/>
          <w:jc w:val="center"/>
        </w:trPr>
        <w:tc>
          <w:tcPr>
            <w:cnfStyle w:val="001000000000"/>
            <w:tcW w:w="1117"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2016.</w:t>
            </w:r>
          </w:p>
        </w:tc>
        <w:tc>
          <w:tcPr>
            <w:tcW w:w="2986"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1275</w:t>
            </w:r>
          </w:p>
        </w:tc>
        <w:tc>
          <w:tcPr>
            <w:tcW w:w="3972"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755</w:t>
            </w:r>
          </w:p>
        </w:tc>
      </w:tr>
      <w:tr w:rsidR="00F85905" w:rsidRPr="006C69B9" w:rsidTr="006C69B9">
        <w:trPr>
          <w:cnfStyle w:val="000000100000"/>
          <w:trHeight w:val="273"/>
          <w:jc w:val="center"/>
        </w:trPr>
        <w:tc>
          <w:tcPr>
            <w:cnfStyle w:val="001000000000"/>
            <w:tcW w:w="1117"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2017.</w:t>
            </w:r>
          </w:p>
        </w:tc>
        <w:tc>
          <w:tcPr>
            <w:tcW w:w="2986"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1161</w:t>
            </w:r>
          </w:p>
        </w:tc>
        <w:tc>
          <w:tcPr>
            <w:tcW w:w="3972"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695</w:t>
            </w:r>
          </w:p>
        </w:tc>
      </w:tr>
      <w:tr w:rsidR="00F85905" w:rsidRPr="006C69B9" w:rsidTr="006C69B9">
        <w:trPr>
          <w:trHeight w:val="251"/>
          <w:jc w:val="center"/>
        </w:trPr>
        <w:tc>
          <w:tcPr>
            <w:cnfStyle w:val="001000000000"/>
            <w:tcW w:w="1117"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2018.</w:t>
            </w:r>
          </w:p>
        </w:tc>
        <w:tc>
          <w:tcPr>
            <w:tcW w:w="2986"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1020</w:t>
            </w:r>
          </w:p>
        </w:tc>
        <w:tc>
          <w:tcPr>
            <w:tcW w:w="3972"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536</w:t>
            </w:r>
          </w:p>
        </w:tc>
      </w:tr>
      <w:tr w:rsidR="00F85905" w:rsidRPr="006C69B9" w:rsidTr="006C69B9">
        <w:trPr>
          <w:cnfStyle w:val="000000100000"/>
          <w:trHeight w:val="257"/>
          <w:jc w:val="center"/>
        </w:trPr>
        <w:tc>
          <w:tcPr>
            <w:cnfStyle w:val="001000000000"/>
            <w:tcW w:w="1117"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lastRenderedPageBreak/>
              <w:t>2019.</w:t>
            </w:r>
          </w:p>
        </w:tc>
        <w:tc>
          <w:tcPr>
            <w:tcW w:w="2986"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929</w:t>
            </w:r>
          </w:p>
        </w:tc>
        <w:tc>
          <w:tcPr>
            <w:tcW w:w="3972"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507</w:t>
            </w:r>
          </w:p>
        </w:tc>
      </w:tr>
    </w:tbl>
    <w:p w:rsidR="006C69B9" w:rsidRPr="006C69B9" w:rsidRDefault="006C69B9" w:rsidP="006C69B9">
      <w:pPr>
        <w:jc w:val="center"/>
        <w:rPr>
          <w:rFonts w:ascii="Calibri" w:eastAsia="Calibri" w:hAnsi="Calibri" w:cs="Calibri"/>
          <w:b/>
          <w:i/>
          <w:sz w:val="18"/>
          <w:szCs w:val="18"/>
          <w:lang w:val="bs-Latn-BA"/>
        </w:rPr>
      </w:pPr>
      <w:r w:rsidRPr="006C69B9">
        <w:rPr>
          <w:rFonts w:ascii="Calibri" w:eastAsia="Calibri" w:hAnsi="Calibri" w:cs="Calibri"/>
          <w:b/>
          <w:i/>
          <w:sz w:val="18"/>
          <w:szCs w:val="18"/>
          <w:lang w:val="bs-Latn-BA"/>
        </w:rPr>
        <w:t>Izvor podataka: Ministrstvo unutarnjih poslova HNŽ</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U oblasti narušavanja javnog reda i mira tijekom perioda 2015. do 2019. godina registrirano je smanjenje broja evidentiranih prekršaja i broja počinitelja prekršaja. U 2019. godini počinjeno je 705 prekršaja sa 795 počinitelja što je smanjenje ukupnog broja prekršaja za 320 (ili 31,2%) i broja počinitelja prekršaja za 475 (ili 37,4%) u odnosu na 2015. godinu. Prema strukturi navedenog višegodišnjeg prosjeka najviše ih je počinjeno tučom (oko 28%), zatim svađom, vikom i nepristojnim ponašanjem (oko 18%), odbijanjem naređenja i omalovažavanjem policijskih službenika (oko 13%), te naročito drskim ponašanjem (oko 11%) itd. Prema mjestu počinjenja prekršaja najveći broj narušavanja javnog reda i mira se dogodio na ulicama i drugim otvorenim prostorima (70%), te u ugostiteljskim objektima (16%), a manje u školama i školskim dvorištima, u trgovinskim i zanatskim radnjama, vozilima javnog prometa, te na sportskim stadionima i dvoranama i ostalim mjestima. Promatrano po policijskim upravama najveći broj prekršaja se dogodio na području Policijske uprave Mostar - 65% od ukupnog broja registriranih prekršaja, zatim slijedi Policijska uprava Konjic – sa 21% prekršaja, te Policijska uprava Čapljina – sa 14% prekršaja od ukupnog broja registriranih prekršaja. Ovdje je važno naglasiti da su aktivnosti uposlenika Ministarstva, a posebice policijskih službenika, od početka pandemije uzrokovane virusom COVID-19 usmjerene na provođenje mjera koje donosi Stožer civilne zaštite Hercegovačko-neretvanske županije. Između ostaloga, policijski službenici provjeravaju poštuju li se mjere samoizolacije i druge donosene mjere. </w:t>
      </w:r>
    </w:p>
    <w:p w:rsidR="006C69B9" w:rsidRPr="006C69B9" w:rsidRDefault="006C69B9" w:rsidP="006C69B9">
      <w:pPr>
        <w:spacing w:after="0"/>
        <w:jc w:val="center"/>
        <w:rPr>
          <w:rFonts w:ascii="Calibri" w:eastAsia="Calibri" w:hAnsi="Calibri" w:cs="Calibri"/>
          <w:color w:val="215868"/>
          <w:sz w:val="20"/>
          <w:szCs w:val="20"/>
          <w:lang w:val="bs-Latn-BA"/>
        </w:rPr>
      </w:pPr>
      <w:r w:rsidRPr="006C69B9">
        <w:rPr>
          <w:rFonts w:ascii="Calibri" w:eastAsia="Calibri" w:hAnsi="Calibri" w:cs="Calibri"/>
          <w:color w:val="215868"/>
          <w:sz w:val="20"/>
          <w:szCs w:val="20"/>
          <w:lang w:val="bs-Latn-BA"/>
        </w:rPr>
        <w:t>Tabela 63. Kretanje broja prekršaja i počinitelja prekršaja iz oblasti javnog reda i mira</w:t>
      </w:r>
    </w:p>
    <w:p w:rsidR="006C69B9" w:rsidRPr="006C69B9" w:rsidRDefault="006C69B9" w:rsidP="006C69B9">
      <w:pPr>
        <w:spacing w:after="0"/>
        <w:jc w:val="center"/>
        <w:rPr>
          <w:rFonts w:ascii="Calibri" w:eastAsia="Calibri" w:hAnsi="Calibri" w:cs="Calibri"/>
          <w:color w:val="215868"/>
          <w:sz w:val="20"/>
          <w:szCs w:val="20"/>
          <w:lang w:val="bs-Latn-BA"/>
        </w:rPr>
      </w:pPr>
      <w:r w:rsidRPr="006C69B9">
        <w:rPr>
          <w:rFonts w:ascii="Calibri" w:eastAsia="Calibri" w:hAnsi="Calibri" w:cs="Calibri"/>
          <w:color w:val="215868"/>
          <w:sz w:val="20"/>
          <w:szCs w:val="20"/>
          <w:lang w:val="bs-Latn-BA"/>
        </w:rPr>
        <w:t xml:space="preserve"> na području Hercegovačko-neretvanske županije u periodu 2015.-2019.</w:t>
      </w:r>
    </w:p>
    <w:tbl>
      <w:tblPr>
        <w:tblStyle w:val="GridTable5Dark-Accent51"/>
        <w:tblW w:w="0" w:type="auto"/>
        <w:jc w:val="center"/>
        <w:tblLook w:val="04A0"/>
      </w:tblPr>
      <w:tblGrid>
        <w:gridCol w:w="1152"/>
        <w:gridCol w:w="2951"/>
        <w:gridCol w:w="3099"/>
      </w:tblGrid>
      <w:tr w:rsidR="00F85905" w:rsidRPr="006C69B9" w:rsidTr="006C69B9">
        <w:trPr>
          <w:cnfStyle w:val="100000000000"/>
          <w:trHeight w:val="413"/>
          <w:jc w:val="center"/>
        </w:trPr>
        <w:tc>
          <w:tcPr>
            <w:cnfStyle w:val="001000000000"/>
            <w:tcW w:w="1152" w:type="dxa"/>
            <w:hideMark/>
          </w:tcPr>
          <w:p w:rsidR="006C69B9" w:rsidRPr="006C69B9" w:rsidRDefault="006C69B9" w:rsidP="006C69B9">
            <w:pPr>
              <w:jc w:val="center"/>
              <w:rPr>
                <w:rFonts w:ascii="Calibri" w:eastAsia="Calibri" w:hAnsi="Calibri" w:cs="Calibri"/>
                <w:sz w:val="20"/>
                <w:szCs w:val="20"/>
                <w:lang w:val="bs-Latn-BA"/>
              </w:rPr>
            </w:pPr>
            <w:r w:rsidRPr="006C69B9">
              <w:rPr>
                <w:rFonts w:ascii="Calibri" w:eastAsia="Calibri" w:hAnsi="Calibri" w:cs="Calibri"/>
                <w:sz w:val="20"/>
                <w:szCs w:val="20"/>
                <w:lang w:val="bs-Latn-BA"/>
              </w:rPr>
              <w:t>Period</w:t>
            </w:r>
          </w:p>
        </w:tc>
        <w:tc>
          <w:tcPr>
            <w:tcW w:w="2951" w:type="dxa"/>
            <w:hideMark/>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prekršaja</w:t>
            </w:r>
          </w:p>
        </w:tc>
        <w:tc>
          <w:tcPr>
            <w:tcW w:w="3099" w:type="dxa"/>
            <w:hideMark/>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počinitelja prekršaja</w:t>
            </w:r>
          </w:p>
        </w:tc>
      </w:tr>
      <w:tr w:rsidR="00F85905" w:rsidRPr="006C69B9" w:rsidTr="006C69B9">
        <w:trPr>
          <w:cnfStyle w:val="000000100000"/>
          <w:trHeight w:val="277"/>
          <w:jc w:val="center"/>
        </w:trPr>
        <w:tc>
          <w:tcPr>
            <w:cnfStyle w:val="001000000000"/>
            <w:tcW w:w="1152"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2015.</w:t>
            </w:r>
          </w:p>
        </w:tc>
        <w:tc>
          <w:tcPr>
            <w:tcW w:w="2951"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1025</w:t>
            </w:r>
          </w:p>
        </w:tc>
        <w:tc>
          <w:tcPr>
            <w:tcW w:w="3099"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1270</w:t>
            </w:r>
          </w:p>
        </w:tc>
      </w:tr>
      <w:tr w:rsidR="00F85905" w:rsidRPr="006C69B9" w:rsidTr="006C69B9">
        <w:trPr>
          <w:trHeight w:val="281"/>
          <w:jc w:val="center"/>
        </w:trPr>
        <w:tc>
          <w:tcPr>
            <w:cnfStyle w:val="001000000000"/>
            <w:tcW w:w="1152"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2016.</w:t>
            </w:r>
          </w:p>
        </w:tc>
        <w:tc>
          <w:tcPr>
            <w:tcW w:w="2951"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867</w:t>
            </w:r>
          </w:p>
        </w:tc>
        <w:tc>
          <w:tcPr>
            <w:tcW w:w="3099"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976</w:t>
            </w:r>
          </w:p>
        </w:tc>
      </w:tr>
      <w:tr w:rsidR="00F85905" w:rsidRPr="006C69B9" w:rsidTr="006C69B9">
        <w:trPr>
          <w:cnfStyle w:val="000000100000"/>
          <w:trHeight w:val="273"/>
          <w:jc w:val="center"/>
        </w:trPr>
        <w:tc>
          <w:tcPr>
            <w:cnfStyle w:val="001000000000"/>
            <w:tcW w:w="1152"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2017.</w:t>
            </w:r>
          </w:p>
        </w:tc>
        <w:tc>
          <w:tcPr>
            <w:tcW w:w="2951"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799</w:t>
            </w:r>
          </w:p>
        </w:tc>
        <w:tc>
          <w:tcPr>
            <w:tcW w:w="3099"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941</w:t>
            </w:r>
          </w:p>
        </w:tc>
      </w:tr>
      <w:tr w:rsidR="00F85905" w:rsidRPr="006C69B9" w:rsidTr="006C69B9">
        <w:trPr>
          <w:trHeight w:val="251"/>
          <w:jc w:val="center"/>
        </w:trPr>
        <w:tc>
          <w:tcPr>
            <w:cnfStyle w:val="001000000000"/>
            <w:tcW w:w="1152"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2018.</w:t>
            </w:r>
          </w:p>
        </w:tc>
        <w:tc>
          <w:tcPr>
            <w:tcW w:w="2951"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715</w:t>
            </w:r>
          </w:p>
        </w:tc>
        <w:tc>
          <w:tcPr>
            <w:tcW w:w="3099" w:type="dxa"/>
          </w:tcPr>
          <w:p w:rsidR="006C69B9" w:rsidRPr="006C69B9" w:rsidRDefault="006C69B9" w:rsidP="006C69B9">
            <w:pPr>
              <w:jc w:val="center"/>
              <w:cnfStyle w:val="000000000000"/>
              <w:rPr>
                <w:rFonts w:ascii="Calibri" w:eastAsia="Calibri" w:hAnsi="Calibri" w:cs="Calibri"/>
                <w:sz w:val="20"/>
                <w:szCs w:val="20"/>
                <w:lang w:val="bs-Latn-BA"/>
              </w:rPr>
            </w:pPr>
            <w:r w:rsidRPr="006C69B9">
              <w:rPr>
                <w:rFonts w:ascii="Calibri" w:eastAsia="Calibri" w:hAnsi="Calibri" w:cs="Calibri"/>
                <w:sz w:val="20"/>
                <w:szCs w:val="20"/>
                <w:lang w:val="bs-Latn-BA"/>
              </w:rPr>
              <w:t>825</w:t>
            </w:r>
          </w:p>
        </w:tc>
      </w:tr>
      <w:tr w:rsidR="00F85905" w:rsidRPr="006C69B9" w:rsidTr="006C69B9">
        <w:trPr>
          <w:cnfStyle w:val="000000100000"/>
          <w:trHeight w:val="251"/>
          <w:jc w:val="center"/>
        </w:trPr>
        <w:tc>
          <w:tcPr>
            <w:cnfStyle w:val="001000000000"/>
            <w:tcW w:w="1152" w:type="dxa"/>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2019.</w:t>
            </w:r>
          </w:p>
        </w:tc>
        <w:tc>
          <w:tcPr>
            <w:tcW w:w="2951"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705</w:t>
            </w:r>
          </w:p>
        </w:tc>
        <w:tc>
          <w:tcPr>
            <w:tcW w:w="3099" w:type="dxa"/>
          </w:tcPr>
          <w:p w:rsidR="006C69B9" w:rsidRPr="006C69B9" w:rsidRDefault="006C69B9" w:rsidP="006C69B9">
            <w:pPr>
              <w:jc w:val="center"/>
              <w:cnfStyle w:val="000000100000"/>
              <w:rPr>
                <w:rFonts w:ascii="Calibri" w:eastAsia="Calibri" w:hAnsi="Calibri" w:cs="Calibri"/>
                <w:sz w:val="20"/>
                <w:szCs w:val="20"/>
                <w:lang w:val="bs-Latn-BA"/>
              </w:rPr>
            </w:pPr>
            <w:r w:rsidRPr="006C69B9">
              <w:rPr>
                <w:rFonts w:ascii="Calibri" w:eastAsia="Calibri" w:hAnsi="Calibri" w:cs="Calibri"/>
                <w:sz w:val="20"/>
                <w:szCs w:val="20"/>
                <w:lang w:val="bs-Latn-BA"/>
              </w:rPr>
              <w:t>795</w:t>
            </w:r>
          </w:p>
        </w:tc>
      </w:tr>
    </w:tbl>
    <w:p w:rsidR="006C69B9" w:rsidRPr="006C69B9" w:rsidRDefault="006C69B9" w:rsidP="006C69B9">
      <w:pPr>
        <w:jc w:val="center"/>
        <w:rPr>
          <w:rFonts w:ascii="Calibri" w:eastAsia="Calibri" w:hAnsi="Calibri" w:cs="Calibri"/>
          <w:b/>
          <w:i/>
          <w:sz w:val="18"/>
          <w:szCs w:val="18"/>
          <w:lang w:val="bs-Latn-BA"/>
        </w:rPr>
      </w:pPr>
      <w:r w:rsidRPr="006C69B9">
        <w:rPr>
          <w:rFonts w:ascii="Calibri" w:eastAsia="Calibri" w:hAnsi="Calibri" w:cs="Calibri"/>
          <w:b/>
          <w:i/>
          <w:sz w:val="18"/>
          <w:szCs w:val="18"/>
          <w:lang w:val="bs-Latn-BA"/>
        </w:rPr>
        <w:t>Izvor podataka: Ministrstvo unutarnjih poslova HNŽ</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Stanje sigurnosti cestovnog prometa po ukupnom broju prometnih nesreća je ostalo na približno istom nivou kao i prethodnih godina. Broj prometnih nesreća je u 2018. godini povećan za 2,1% u odnosu na 2017.godinu, a 2016. godine za 9,3% u odnosu na 2015. godinu dok je u 2019. godini došlo je do smanjenja broja prometnih nesreća za 1,5% u odnosu na 2018. godinu i 4,6% u odnosu na 2015. godinu. Kada je riječ o posljedicama prometnih nesreća, iz uporenih pokazatelja, koji su dati u tabeli koja slijedi, vidljivo je da je rad policije na preventivno-represivnim mjerama kroz segment sigurnosti prometa rezultirao da je u 2019. godini došlo je do smanjenja broja poginulih osoba za 17 (ili 48,6%), broja teže povrijeđenih za 29 (ili 22,3%) i broja lakše povrijeđenih za 77 (ili 9,9%) u odnosu na 2015. godinu. Prema kategoriji ceste prometne nesreće najčešće se događaju na ulicama u naselju (42%), zatim na magistralnim cestama (41%), lokalnim cestama (8%), te regionalnim cestama (7%) i „ostalim mjestima“ (2%). Najčešći uzroci prometnih nesreća u posljednjih pet godina su neprilagođena brzina vožnje, zatim klizav put, te alkoholiziranost vozača i ostalo. Promatrano po policijskim upravama najveći broj prometnih nesreća se dogodio na području Policijske uprave Mostar- 65% od ukupnog broja prometnih nesreća, zatim slijedi Policijska uprava Konjic – 20% prometnih nesreća, te Čapljina -  15% od ukupnog broja prometnih nesreća. Kada govorimo o ovom segmetu sigurnosti u cilju smanjenja broja nesreća i posljedica neophodno je nastaviti modernizaciju prometnica na području županije, podići nivo tehničke ispravnosti prometnih sredstava, uz njihovu propisnu primjenu u prometu, te redovito održavati prometnice i prometne znakove. </w:t>
      </w:r>
    </w:p>
    <w:p w:rsidR="006C69B9" w:rsidRPr="006C69B9" w:rsidRDefault="006C69B9" w:rsidP="006C69B9">
      <w:pPr>
        <w:spacing w:line="276" w:lineRule="auto"/>
        <w:jc w:val="both"/>
        <w:rPr>
          <w:rFonts w:ascii="Calibri" w:eastAsia="Calibri" w:hAnsi="Calibri" w:cs="Calibri"/>
          <w:lang w:val="bs-Latn-BA"/>
        </w:rPr>
      </w:pPr>
    </w:p>
    <w:p w:rsidR="006C69B9" w:rsidRPr="006C69B9" w:rsidRDefault="006C69B9" w:rsidP="006C69B9">
      <w:pPr>
        <w:spacing w:after="0"/>
        <w:jc w:val="center"/>
        <w:rPr>
          <w:rFonts w:ascii="Calibri" w:eastAsia="Calibri" w:hAnsi="Calibri" w:cs="Calibri"/>
          <w:color w:val="215868"/>
          <w:sz w:val="20"/>
          <w:szCs w:val="20"/>
          <w:lang w:val="bs-Latn-BA"/>
        </w:rPr>
      </w:pPr>
      <w:r w:rsidRPr="006C69B9">
        <w:rPr>
          <w:rFonts w:ascii="Calibri" w:eastAsia="Calibri" w:hAnsi="Calibri" w:cs="Calibri"/>
          <w:color w:val="215868"/>
          <w:sz w:val="20"/>
          <w:szCs w:val="20"/>
          <w:lang w:val="bs-Latn-BA"/>
        </w:rPr>
        <w:t xml:space="preserve">Tabela 64. Uporedni pokazatelji iz segmenta sigurnosti cestovnog prometa </w:t>
      </w:r>
    </w:p>
    <w:p w:rsidR="006C69B9" w:rsidRPr="006C69B9" w:rsidRDefault="006C69B9" w:rsidP="006C69B9">
      <w:pPr>
        <w:spacing w:after="0"/>
        <w:jc w:val="center"/>
        <w:rPr>
          <w:rFonts w:ascii="Calibri" w:eastAsia="Calibri" w:hAnsi="Calibri" w:cs="Calibri"/>
          <w:color w:val="215868"/>
          <w:sz w:val="20"/>
          <w:szCs w:val="20"/>
          <w:lang w:val="bs-Latn-BA"/>
        </w:rPr>
      </w:pPr>
      <w:r w:rsidRPr="006C69B9">
        <w:rPr>
          <w:rFonts w:ascii="Calibri" w:eastAsia="Calibri" w:hAnsi="Calibri" w:cs="Calibri"/>
          <w:color w:val="215868"/>
          <w:sz w:val="20"/>
          <w:szCs w:val="20"/>
          <w:lang w:val="bs-Latn-BA"/>
        </w:rPr>
        <w:t xml:space="preserve">na području Hercegovačko-neretvanske županije u periodu 2015.-2019. </w:t>
      </w:r>
    </w:p>
    <w:tbl>
      <w:tblPr>
        <w:tblStyle w:val="GridTable5Dark-Accent51"/>
        <w:tblW w:w="9044" w:type="dxa"/>
        <w:tblLayout w:type="fixed"/>
        <w:tblLook w:val="04A0"/>
      </w:tblPr>
      <w:tblGrid>
        <w:gridCol w:w="1088"/>
        <w:gridCol w:w="1262"/>
        <w:gridCol w:w="1263"/>
        <w:gridCol w:w="1516"/>
        <w:gridCol w:w="1136"/>
        <w:gridCol w:w="1389"/>
        <w:gridCol w:w="1390"/>
      </w:tblGrid>
      <w:tr w:rsidR="00F85905" w:rsidRPr="006C69B9" w:rsidTr="006C69B9">
        <w:trPr>
          <w:cnfStyle w:val="100000000000"/>
          <w:trHeight w:val="291"/>
        </w:trPr>
        <w:tc>
          <w:tcPr>
            <w:cnfStyle w:val="001000000000"/>
            <w:tcW w:w="1088" w:type="dxa"/>
            <w:vMerge w:val="restart"/>
          </w:tcPr>
          <w:p w:rsidR="006C69B9" w:rsidRPr="006C69B9" w:rsidRDefault="006C69B9" w:rsidP="006C69B9">
            <w:pPr>
              <w:jc w:val="center"/>
              <w:rPr>
                <w:rFonts w:ascii="Calibri" w:eastAsia="Calibri" w:hAnsi="Calibri" w:cs="Calibri"/>
                <w:sz w:val="20"/>
                <w:szCs w:val="20"/>
                <w:lang w:val="bs-Latn-BA"/>
              </w:rPr>
            </w:pPr>
          </w:p>
          <w:p w:rsidR="006C69B9" w:rsidRPr="006C69B9" w:rsidRDefault="006C69B9" w:rsidP="006C69B9">
            <w:pPr>
              <w:jc w:val="center"/>
              <w:rPr>
                <w:rFonts w:ascii="Calibri" w:eastAsia="Calibri" w:hAnsi="Calibri" w:cs="Calibri"/>
                <w:sz w:val="20"/>
                <w:szCs w:val="20"/>
                <w:lang w:val="bs-Latn-BA"/>
              </w:rPr>
            </w:pPr>
            <w:r w:rsidRPr="006C69B9">
              <w:rPr>
                <w:rFonts w:ascii="Calibri" w:eastAsia="Calibri" w:hAnsi="Calibri" w:cs="Calibri"/>
                <w:sz w:val="20"/>
                <w:szCs w:val="20"/>
                <w:lang w:val="bs-Latn-BA"/>
              </w:rPr>
              <w:t>Period</w:t>
            </w:r>
          </w:p>
        </w:tc>
        <w:tc>
          <w:tcPr>
            <w:tcW w:w="4041" w:type="dxa"/>
            <w:gridSpan w:val="3"/>
            <w:hideMark/>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Broj prometnih nesreća</w:t>
            </w:r>
          </w:p>
        </w:tc>
        <w:tc>
          <w:tcPr>
            <w:tcW w:w="3915" w:type="dxa"/>
            <w:gridSpan w:val="3"/>
            <w:hideMark/>
          </w:tcPr>
          <w:p w:rsidR="006C69B9" w:rsidRPr="006C69B9" w:rsidRDefault="006C69B9" w:rsidP="006C69B9">
            <w:pPr>
              <w:jc w:val="center"/>
              <w:cnfStyle w:val="100000000000"/>
              <w:rPr>
                <w:rFonts w:ascii="Calibri" w:eastAsia="Calibri" w:hAnsi="Calibri" w:cs="Calibri"/>
                <w:sz w:val="20"/>
                <w:szCs w:val="20"/>
                <w:lang w:val="bs-Latn-BA"/>
              </w:rPr>
            </w:pPr>
            <w:r w:rsidRPr="006C69B9">
              <w:rPr>
                <w:rFonts w:ascii="Calibri" w:eastAsia="Calibri" w:hAnsi="Calibri" w:cs="Calibri"/>
                <w:sz w:val="20"/>
                <w:szCs w:val="20"/>
                <w:lang w:val="bs-Latn-BA"/>
              </w:rPr>
              <w:t>Posljedice prometnih nesreća</w:t>
            </w:r>
          </w:p>
        </w:tc>
      </w:tr>
      <w:tr w:rsidR="00F85905" w:rsidRPr="006C69B9" w:rsidTr="006C69B9">
        <w:trPr>
          <w:cnfStyle w:val="000000100000"/>
          <w:trHeight w:val="829"/>
        </w:trPr>
        <w:tc>
          <w:tcPr>
            <w:cnfStyle w:val="001000000000"/>
            <w:tcW w:w="1088" w:type="dxa"/>
            <w:vMerge/>
            <w:hideMark/>
          </w:tcPr>
          <w:p w:rsidR="006C69B9" w:rsidRPr="006C69B9" w:rsidRDefault="006C69B9" w:rsidP="006C69B9">
            <w:pPr>
              <w:jc w:val="center"/>
              <w:rPr>
                <w:rFonts w:ascii="Calibri" w:eastAsia="Calibri" w:hAnsi="Calibri" w:cs="Calibri"/>
                <w:sz w:val="20"/>
                <w:szCs w:val="20"/>
                <w:lang w:val="bs-Latn-BA"/>
              </w:rPr>
            </w:pPr>
          </w:p>
        </w:tc>
        <w:tc>
          <w:tcPr>
            <w:tcW w:w="1262" w:type="dxa"/>
            <w:hideMark/>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Prometnih nesreća</w:t>
            </w:r>
          </w:p>
        </w:tc>
        <w:tc>
          <w:tcPr>
            <w:tcW w:w="1263" w:type="dxa"/>
            <w:hideMark/>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Prometnih nesreća sa poginulim osobama</w:t>
            </w:r>
          </w:p>
        </w:tc>
        <w:tc>
          <w:tcPr>
            <w:tcW w:w="1516" w:type="dxa"/>
            <w:hideMark/>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Prometnih nesreća sa povrijeđenim osobama</w:t>
            </w:r>
          </w:p>
        </w:tc>
        <w:tc>
          <w:tcPr>
            <w:tcW w:w="1136" w:type="dxa"/>
            <w:hideMark/>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Poginulo osoba</w:t>
            </w:r>
          </w:p>
        </w:tc>
        <w:tc>
          <w:tcPr>
            <w:tcW w:w="1389" w:type="dxa"/>
            <w:hideMark/>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Teže povrijeđeno osoba</w:t>
            </w:r>
          </w:p>
        </w:tc>
        <w:tc>
          <w:tcPr>
            <w:tcW w:w="1390" w:type="dxa"/>
            <w:hideMark/>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Lakše povrijeđeno soba</w:t>
            </w:r>
          </w:p>
        </w:tc>
      </w:tr>
      <w:tr w:rsidR="00F85905" w:rsidRPr="006C69B9" w:rsidTr="006C69B9">
        <w:trPr>
          <w:trHeight w:val="297"/>
        </w:trPr>
        <w:tc>
          <w:tcPr>
            <w:cnfStyle w:val="001000000000"/>
            <w:tcW w:w="1088"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2015.</w:t>
            </w:r>
          </w:p>
        </w:tc>
        <w:tc>
          <w:tcPr>
            <w:tcW w:w="1262"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2127</w:t>
            </w:r>
          </w:p>
        </w:tc>
        <w:tc>
          <w:tcPr>
            <w:tcW w:w="1263"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29</w:t>
            </w:r>
          </w:p>
        </w:tc>
        <w:tc>
          <w:tcPr>
            <w:tcW w:w="1516"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584</w:t>
            </w:r>
          </w:p>
        </w:tc>
        <w:tc>
          <w:tcPr>
            <w:tcW w:w="1136"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35</w:t>
            </w:r>
          </w:p>
        </w:tc>
        <w:tc>
          <w:tcPr>
            <w:tcW w:w="1389"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130</w:t>
            </w:r>
          </w:p>
        </w:tc>
        <w:tc>
          <w:tcPr>
            <w:tcW w:w="1390"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777</w:t>
            </w:r>
          </w:p>
        </w:tc>
      </w:tr>
      <w:tr w:rsidR="00F85905" w:rsidRPr="006C69B9" w:rsidTr="006C69B9">
        <w:trPr>
          <w:cnfStyle w:val="000000100000"/>
          <w:trHeight w:val="288"/>
        </w:trPr>
        <w:tc>
          <w:tcPr>
            <w:cnfStyle w:val="001000000000"/>
            <w:tcW w:w="1088"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2016.</w:t>
            </w:r>
          </w:p>
        </w:tc>
        <w:tc>
          <w:tcPr>
            <w:tcW w:w="1262"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2325</w:t>
            </w:r>
          </w:p>
        </w:tc>
        <w:tc>
          <w:tcPr>
            <w:tcW w:w="1263"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20</w:t>
            </w:r>
          </w:p>
        </w:tc>
        <w:tc>
          <w:tcPr>
            <w:tcW w:w="1516"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661</w:t>
            </w:r>
          </w:p>
        </w:tc>
        <w:tc>
          <w:tcPr>
            <w:tcW w:w="1136"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22</w:t>
            </w:r>
          </w:p>
        </w:tc>
        <w:tc>
          <w:tcPr>
            <w:tcW w:w="1389"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135</w:t>
            </w:r>
          </w:p>
        </w:tc>
        <w:tc>
          <w:tcPr>
            <w:tcW w:w="1390"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893</w:t>
            </w:r>
          </w:p>
        </w:tc>
      </w:tr>
      <w:tr w:rsidR="00F85905" w:rsidRPr="006C69B9" w:rsidTr="006C69B9">
        <w:trPr>
          <w:trHeight w:val="297"/>
        </w:trPr>
        <w:tc>
          <w:tcPr>
            <w:cnfStyle w:val="001000000000"/>
            <w:tcW w:w="1088"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2017.</w:t>
            </w:r>
          </w:p>
        </w:tc>
        <w:tc>
          <w:tcPr>
            <w:tcW w:w="1262"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2016</w:t>
            </w:r>
          </w:p>
        </w:tc>
        <w:tc>
          <w:tcPr>
            <w:tcW w:w="1263"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35</w:t>
            </w:r>
          </w:p>
        </w:tc>
        <w:tc>
          <w:tcPr>
            <w:tcW w:w="1516"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517</w:t>
            </w:r>
          </w:p>
        </w:tc>
        <w:tc>
          <w:tcPr>
            <w:tcW w:w="1136"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38</w:t>
            </w:r>
          </w:p>
        </w:tc>
        <w:tc>
          <w:tcPr>
            <w:tcW w:w="1389"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131</w:t>
            </w:r>
          </w:p>
        </w:tc>
        <w:tc>
          <w:tcPr>
            <w:tcW w:w="1390"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683</w:t>
            </w:r>
          </w:p>
        </w:tc>
      </w:tr>
      <w:tr w:rsidR="00F85905" w:rsidRPr="006C69B9" w:rsidTr="006C69B9">
        <w:trPr>
          <w:cnfStyle w:val="000000100000"/>
          <w:trHeight w:val="297"/>
        </w:trPr>
        <w:tc>
          <w:tcPr>
            <w:cnfStyle w:val="001000000000"/>
            <w:tcW w:w="1088"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2018.</w:t>
            </w:r>
          </w:p>
        </w:tc>
        <w:tc>
          <w:tcPr>
            <w:tcW w:w="1262"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2059</w:t>
            </w:r>
          </w:p>
        </w:tc>
        <w:tc>
          <w:tcPr>
            <w:tcW w:w="1263"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29</w:t>
            </w:r>
          </w:p>
        </w:tc>
        <w:tc>
          <w:tcPr>
            <w:tcW w:w="1516"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545</w:t>
            </w:r>
          </w:p>
        </w:tc>
        <w:tc>
          <w:tcPr>
            <w:tcW w:w="1136"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31</w:t>
            </w:r>
          </w:p>
        </w:tc>
        <w:tc>
          <w:tcPr>
            <w:tcW w:w="1389"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112</w:t>
            </w:r>
          </w:p>
        </w:tc>
        <w:tc>
          <w:tcPr>
            <w:tcW w:w="1390" w:type="dxa"/>
          </w:tcPr>
          <w:p w:rsidR="006C69B9" w:rsidRPr="006C69B9" w:rsidRDefault="006C69B9" w:rsidP="006C69B9">
            <w:pPr>
              <w:jc w:val="center"/>
              <w:cnfStyle w:val="000000100000"/>
              <w:rPr>
                <w:rFonts w:ascii="Calibri" w:eastAsia="Calibri" w:hAnsi="Calibri" w:cs="Calibri"/>
                <w:bCs/>
                <w:sz w:val="20"/>
                <w:szCs w:val="20"/>
                <w:lang w:val="bs-Latn-BA"/>
              </w:rPr>
            </w:pPr>
            <w:r w:rsidRPr="006C69B9">
              <w:rPr>
                <w:rFonts w:ascii="Calibri" w:eastAsia="Calibri" w:hAnsi="Calibri" w:cs="Calibri"/>
                <w:bCs/>
                <w:sz w:val="20"/>
                <w:szCs w:val="20"/>
                <w:lang w:val="bs-Latn-BA"/>
              </w:rPr>
              <w:t>734</w:t>
            </w:r>
          </w:p>
        </w:tc>
      </w:tr>
      <w:tr w:rsidR="00F85905" w:rsidRPr="006C69B9" w:rsidTr="006C69B9">
        <w:trPr>
          <w:trHeight w:val="288"/>
        </w:trPr>
        <w:tc>
          <w:tcPr>
            <w:cnfStyle w:val="001000000000"/>
            <w:tcW w:w="1088" w:type="dxa"/>
            <w:hideMark/>
          </w:tcPr>
          <w:p w:rsidR="006C69B9" w:rsidRPr="006C69B9" w:rsidRDefault="006C69B9" w:rsidP="006C69B9">
            <w:pPr>
              <w:rPr>
                <w:rFonts w:ascii="Calibri" w:eastAsia="Calibri" w:hAnsi="Calibri" w:cs="Calibri"/>
                <w:sz w:val="20"/>
                <w:szCs w:val="20"/>
                <w:lang w:val="bs-Latn-BA"/>
              </w:rPr>
            </w:pPr>
            <w:r w:rsidRPr="006C69B9">
              <w:rPr>
                <w:rFonts w:ascii="Calibri" w:eastAsia="Calibri" w:hAnsi="Calibri" w:cs="Calibri"/>
                <w:sz w:val="20"/>
                <w:szCs w:val="20"/>
                <w:lang w:val="bs-Latn-BA"/>
              </w:rPr>
              <w:t>2019.</w:t>
            </w:r>
          </w:p>
        </w:tc>
        <w:tc>
          <w:tcPr>
            <w:tcW w:w="1262"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2029</w:t>
            </w:r>
          </w:p>
        </w:tc>
        <w:tc>
          <w:tcPr>
            <w:tcW w:w="1263"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17</w:t>
            </w:r>
          </w:p>
        </w:tc>
        <w:tc>
          <w:tcPr>
            <w:tcW w:w="1516"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523</w:t>
            </w:r>
          </w:p>
        </w:tc>
        <w:tc>
          <w:tcPr>
            <w:tcW w:w="1136"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18</w:t>
            </w:r>
          </w:p>
        </w:tc>
        <w:tc>
          <w:tcPr>
            <w:tcW w:w="1389"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101</w:t>
            </w:r>
          </w:p>
        </w:tc>
        <w:tc>
          <w:tcPr>
            <w:tcW w:w="1390" w:type="dxa"/>
          </w:tcPr>
          <w:p w:rsidR="006C69B9" w:rsidRPr="006C69B9" w:rsidRDefault="006C69B9" w:rsidP="006C69B9">
            <w:pPr>
              <w:jc w:val="center"/>
              <w:cnfStyle w:val="000000000000"/>
              <w:rPr>
                <w:rFonts w:ascii="Calibri" w:eastAsia="Calibri" w:hAnsi="Calibri" w:cs="Calibri"/>
                <w:bCs/>
                <w:sz w:val="20"/>
                <w:szCs w:val="20"/>
                <w:lang w:val="bs-Latn-BA"/>
              </w:rPr>
            </w:pPr>
            <w:r w:rsidRPr="006C69B9">
              <w:rPr>
                <w:rFonts w:ascii="Calibri" w:eastAsia="Calibri" w:hAnsi="Calibri" w:cs="Calibri"/>
                <w:bCs/>
                <w:sz w:val="20"/>
                <w:szCs w:val="20"/>
                <w:lang w:val="bs-Latn-BA"/>
              </w:rPr>
              <w:t>700</w:t>
            </w:r>
          </w:p>
        </w:tc>
      </w:tr>
    </w:tbl>
    <w:p w:rsidR="006C69B9" w:rsidRPr="006C69B9" w:rsidRDefault="006C69B9" w:rsidP="006C69B9">
      <w:pPr>
        <w:jc w:val="center"/>
        <w:rPr>
          <w:rFonts w:ascii="Calibri" w:eastAsia="Calibri" w:hAnsi="Calibri" w:cs="Calibri"/>
          <w:b/>
          <w:i/>
          <w:sz w:val="18"/>
          <w:szCs w:val="18"/>
          <w:lang w:val="bs-Latn-BA"/>
        </w:rPr>
      </w:pPr>
      <w:r w:rsidRPr="006C69B9">
        <w:rPr>
          <w:rFonts w:ascii="Calibri" w:eastAsia="Calibri" w:hAnsi="Calibri" w:cs="Calibri"/>
          <w:b/>
          <w:i/>
          <w:sz w:val="18"/>
          <w:szCs w:val="18"/>
          <w:lang w:val="bs-Latn-BA"/>
        </w:rPr>
        <w:t>Izvor podataka: Ministrstvo unutarnjih poslova HNŽ</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 xml:space="preserve">U svezi sa sigurnosnim pitanjima bitno je istaći da se utjecaj migrantske krize u Bosni Hercegovini osjeća i na području Hercegovačko-neretvanske županije koja je jedna od tranzitnih ruta migranata na putu prema zemljama Europske unije. Na području Grada Mostara egzistira izbjegličko-prihvatni centar „Salakovac“ u kojem pravo na smještaj ostvaruju i migranti. S dolaskom migranata na područje županije zabilježen je porast različitih oblika protupravnog ponašanja počinjenih od strane istih, te je ovom pitanju u narednom periodu potrebno posvetiti posebnu pažnju. </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Sagledavajući sveukupne elemente petogodišnje analize sigurnosnih pokazatelja u oblasti kriminaliteta, javnog reda i mira i sigurnosti cestovnog prometa mogu se uočiti pozitivi trendovi u pogledu ukupnog stanja sigurnosti na području Hercegovačko-neretvanske županije, ali i da se navedeni rezultati mogu poboljšati u svim segmentima.</w:t>
      </w:r>
    </w:p>
    <w:p w:rsidR="006C69B9" w:rsidRPr="006C69B9" w:rsidRDefault="006C69B9" w:rsidP="006C69B9">
      <w:pPr>
        <w:spacing w:line="276" w:lineRule="auto"/>
        <w:jc w:val="both"/>
        <w:rPr>
          <w:rFonts w:ascii="Calibri" w:eastAsia="Calibri" w:hAnsi="Calibri" w:cs="Calibri"/>
          <w:lang w:val="bs-Latn-BA"/>
        </w:rPr>
      </w:pPr>
      <w:r w:rsidRPr="006C69B9">
        <w:rPr>
          <w:rFonts w:ascii="Calibri" w:eastAsia="Calibri" w:hAnsi="Calibri" w:cs="Calibri"/>
          <w:lang w:val="bs-Latn-BA"/>
        </w:rPr>
        <w:t>Podizanje efikasnosti rada policije jačanjem njenih kadrovskih i organizacijskih kapaciteta jeste jedan od ključnih mehanizama za postizanje optimalnih ciljeva u oblasti sigurnosti građana. U cilju jačanja efikasnosti rada policije potrebno je unaprijediti i normativni okvir za rad policije. Što se tiče smještajnih kapaciteta Ministarstvo i dalje ne raspolaže odgovarajućim smještajnim kapacitetima za sve organizacijske jedinice (lokacije za izdavanje osobnih dokumenata, objekti policijskih stanica…) i radi se o problemu koji bi u narednom periodu i dalje trebalo kontinuirano rješavati na strateškim osnovama. Materijalno-tehnička opremljenost je na relativno zadovoljavajućem nivou uz neophodnu kontinuiranu nabavku novih i poboljšanje i modernizaciju postojećih kapaciteta (motorna vozila, sustav veze, uniforme, oprema za vršenje uviđaja, video nadzor, mobilni i stacionarni radarski uređaji, zaštitna sredstva, vatreno oružje, informacijsko-komunikacijski sustav, kriminalističko-tehnička oprema i drugo). Posebnu pažnju potrebno je posvetiti tehničko-tehnološkim inovacijama u opremanju kao što je nabava i ugradnja opreme za GPS pozicioniranje vozila i radio uređaja, DMS (Document Management System), dovršetak digitalizacije sustava policijske veze na području cijele županije, uspostavljanje informacijsko-komunikacijskog sustava u svim organizacijskim jedinicama za online sastanke i online obuke i drugo.</w:t>
      </w: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r w:rsidRPr="006C69B9">
        <w:rPr>
          <w:rFonts w:ascii="Calibri" w:eastAsia="Calibri" w:hAnsi="Calibri" w:cs="Times New Roman"/>
          <w:b/>
          <w:bCs/>
          <w:color w:val="4BACC6"/>
          <w:szCs w:val="26"/>
          <w:lang w:val="bs-Latn-BA" w:eastAsia="hr-HR"/>
        </w:rPr>
        <w:t>Civilna zaštita</w:t>
      </w:r>
    </w:p>
    <w:bookmarkEnd w:id="82"/>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 w:hAnsi="Calibri" w:cs="Calibri"/>
        </w:rPr>
        <w:t xml:space="preserve">Civilna zaštita i vatrogastvo u HNŽ organizirana je kroz Upravu za civilnu zaštitu i vatrogastvo u okviru koje funkcionira operativni centar civilne zaštite HNŽ. Od prirodnih i </w:t>
      </w:r>
      <w:r w:rsidRPr="006C69B9">
        <w:rPr>
          <w:rFonts w:ascii="Calibri" w:eastAsia="Calibri-Identity-H" w:hAnsi="Calibri" w:cs="Calibri"/>
        </w:rPr>
        <w:t>drugih nesreća na području Županije, najveće moguće opasnosti prijete od</w:t>
      </w:r>
      <w:r w:rsidRPr="006C69B9">
        <w:rPr>
          <w:rFonts w:ascii="Calibri" w:eastAsia="Calibri-Identity-H" w:hAnsi="Calibri" w:cs="Calibri"/>
          <w:vertAlign w:val="superscript"/>
          <w:lang w:val="bs-Latn-BA"/>
        </w:rPr>
        <w:footnoteReference w:id="6"/>
      </w:r>
      <w:r w:rsidRPr="006C69B9">
        <w:rPr>
          <w:rFonts w:ascii="Calibri" w:eastAsia="Calibri-Identity-H" w:hAnsi="Calibri" w:cs="Calibri"/>
        </w:rPr>
        <w:t>:</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lastRenderedPageBreak/>
        <w:t>Potresa i s tim eventualno povezano pucanje brana što bi dovelo do nesagledivih</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ljudskih žrtava i materijalnih šteta,</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Poplave uzrokovane prelijevanjem brana na akumulacijama «Plavni val»,</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Olujni vjetrovi od 8 i više bofora i odroni zemljišta,</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Veliki ljetni požari i suše.</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 xml:space="preserve">S obzirom da se kroz područje Županije prostire tektonski aktivan neretvanski rasjed ova zona se smatra područjem s visokim seizmičkim rizikom (7, 8 i 9 stupanj seizmičkog intenziteta MCS skale). U sektoru Civilne zaštite evidentirana je zastarjelost seizmoloških mjernih instrumenata i nedovoljan broj seizmoloških stanica te nedovoljan angažman stručnog kadra. </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Poplave rezultiraju velikim materijalnim štetama: poplavljena naselja, ceste, uništeni mostovi i visoki rizici po ljudske živote.</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 xml:space="preserve">Najvažniji hidrološki ciklus prati rijeka Neretva čija se dolina prati od Konjica do ušća u Jadransko more. Nizvodno od Konjica do brane HE Jablanica na dužini od približno 27 km prostire se Jablaničko jezero. Dalje nizvodno su gradovi Jablanica, Mostar, Čapljina s nizom manjih naseljenih mjesta. Od Konjica do Mostara izuzev Jablanice nema industrijskih objekata. Koncentracija industrije je u području Mostara i nizvodno.  </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 xml:space="preserve">Izgradnjom akumulacija na Neretvi reducirani su valovi velikih voda, a regulacijskim radovima zaštićena su sva naselja nizvodno. U sustavu akumulacija i duž vodotoka nalaze se </w:t>
      </w:r>
      <w:r w:rsidRPr="006C69B9">
        <w:rPr>
          <w:rFonts w:ascii="Calibri" w:eastAsia="Calibri-Bold-Identity-H" w:hAnsi="Calibri" w:cs="Calibri"/>
          <w:bCs/>
        </w:rPr>
        <w:t>zaštitni vodoprivredni objekti u slivu Jadranskog mora:</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crpna stanica „Sjekose“ Svitava sa čuvarskom kućom (ukupni kapacitet 4 x 1 m3/s),</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obrambeni nasipi uz rijeku Naretvu 14.692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obrambeni nasip uz rijeku Bregavu duljine 3.091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obrambeni nasip uz rijeku Krupu duljine 12.212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obodni kanal Dračevo-Svitava i nasip uz obodni kanal duljine 4.080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centar odbrane od poplava u sklopu Upravne zgrade u Čapljini,</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obrambeni nasipi uz rijeku Tihaljina – Mlade – Trebižat, duljine 19.822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obrambeni nasip uz rijeku Vriošticu, duljine 7.441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obodni kanal Probojska jaruga i nasip uz obodni kanal duljine 1300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kanal Parilo – Brza voda duljine 4.090 m,</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kula zatvaračnica u Kruševu (Mostarsko blato) s pripadajućim objektima, čuvarska</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kuća i magazin,</w:t>
      </w:r>
    </w:p>
    <w:p w:rsidR="006C69B9" w:rsidRPr="006C69B9" w:rsidRDefault="006C69B9" w:rsidP="00F85905">
      <w:pPr>
        <w:numPr>
          <w:ilvl w:val="0"/>
          <w:numId w:val="7"/>
        </w:numPr>
        <w:autoSpaceDE w:val="0"/>
        <w:autoSpaceDN w:val="0"/>
        <w:adjustRightInd w:val="0"/>
        <w:spacing w:after="0" w:line="276" w:lineRule="auto"/>
        <w:contextualSpacing/>
        <w:jc w:val="both"/>
        <w:rPr>
          <w:rFonts w:ascii="Calibri" w:eastAsia="Calibri-Identity-H" w:hAnsi="Calibri" w:cs="Calibri"/>
          <w:lang w:val="bs-Latn-BA"/>
        </w:rPr>
      </w:pPr>
      <w:r w:rsidRPr="006C69B9">
        <w:rPr>
          <w:rFonts w:ascii="Calibri" w:eastAsia="Calibri-Identity-H" w:hAnsi="Calibri" w:cs="Calibri"/>
          <w:lang w:val="bs-Latn-BA"/>
        </w:rPr>
        <w:t>glavni odvodni kanal u Mostarskom blatu, dionica kanala OK 1-1’, duljine 1.108 m.</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 xml:space="preserve">Pojava suše najčešća je u središnjem i južnom dijelu Županije u ljetnim mjesecima. Vruća ljeta (iznad 40⁰ C) i dugotrajne suše su redovna pojava, a preduvjet su za razvoj nastanka požara manjeg i većeg intenziteta. U posljednjem desetljeću svake godine evidentirani su požari manjih razmjera. </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Grmljavinske nepogode, bučno praćene jakim olujnim vjetrom, odnosno jakim padalinama, s</w:t>
      </w:r>
    </w:p>
    <w:p w:rsidR="006C69B9" w:rsidRPr="006C69B9" w:rsidRDefault="006C69B9" w:rsidP="006C69B9">
      <w:pPr>
        <w:autoSpaceDE w:val="0"/>
        <w:autoSpaceDN w:val="0"/>
        <w:adjustRightInd w:val="0"/>
        <w:spacing w:after="0" w:line="276" w:lineRule="auto"/>
        <w:jc w:val="both"/>
        <w:rPr>
          <w:rFonts w:ascii="Calibri" w:eastAsia="Calibri-Identity-H" w:hAnsi="Calibri" w:cs="Calibri"/>
        </w:rPr>
      </w:pPr>
      <w:r w:rsidRPr="006C69B9">
        <w:rPr>
          <w:rFonts w:ascii="Calibri" w:eastAsia="Calibri-Identity-H" w:hAnsi="Calibri" w:cs="Calibri"/>
        </w:rPr>
        <w:t>tučom (gradom) na području Županije povremenog su karaktera. Najveća nepogoda u zadnjem desetljeću dogodila se na području općina: Čapljina, Neum, Ravno, Stolac i grad Mostar 2003. godine. Uslijed inverzije zraka, došlo je do ekstremno niskih temperatura i do –7 °C, koje su pričinile štetu na voćnjacima, vinogradima, ratarskim kulturama i dijelom u staklenicima.</w:t>
      </w:r>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83" w:name="_Toc57573233"/>
      <w:r w:rsidRPr="006C69B9">
        <w:rPr>
          <w:rFonts w:ascii="Calibri" w:eastAsia="Calibri" w:hAnsi="Calibri" w:cs="Times New Roman"/>
          <w:b/>
          <w:bCs/>
          <w:iCs/>
          <w:color w:val="31849B"/>
          <w:sz w:val="24"/>
          <w:szCs w:val="28"/>
          <w:lang w:eastAsia="hr-HR"/>
        </w:rPr>
        <w:t>Zaštita okoliša i životne sredine uključujući smanjenje rizika od katastrofa</w:t>
      </w:r>
      <w:bookmarkEnd w:id="83"/>
    </w:p>
    <w:p w:rsidR="006C69B9" w:rsidRPr="006C69B9" w:rsidRDefault="006C69B9" w:rsidP="006C69B9">
      <w:pPr>
        <w:rPr>
          <w:rFonts w:ascii="Calibri" w:eastAsia="Calibri" w:hAnsi="Calibri" w:cs="Times New Roman"/>
          <w:lang w:val="bs-Latn-BA" w:eastAsia="hr-HR"/>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lastRenderedPageBreak/>
        <w:t>Okolišnu legislativu na županijskoj razini čini set zakonskih i podzakonskih akata o okolišu: Zakon o zaštiti okoliša HNŽ/K („Narodne novine HNŽ/K“, br. 6/2012), Zakon o zaštiti prirode („Narodne novine HNŽ/K“, br. 12/2017), Zakon o zaštiti zraka („Narodne novine HNŽ/K“, br. 7/2014), Zakon o upravljanju otpadom HNŽ/K („Narodne novine HNŽ/K“, br. 6/2006), Zakon o zaštiti od buke („Narodne novine HNŽ/K“, br. 6/2018), Zakon o Fondu za zaštitu okoliša HNŽ/K („Narodne novine HNŽ/K“, br. 6/2012), Zakon o vodama HNŽ/K („Narodne novine HNŽ/K“, br. 6/2013), Pravilnik o djelatnostima, pogonima i postrojenjima koji mogu biti izgrađeni samo ako imaju i pušteni u rad samo ako imaju okolišnu dozvolu („Narodne novine HNŽ/K“, br. 10/2012), Pravilnik o uvjetima za podnošenje zahtjeva za izdavanje okolišne dozvole za pogone i postrojenja koja imaju izdane dozvole prije stupanja na snagu zakona o zaštiti okoliša („Narodne novine HNŽ/K“, br.10/2012), Pravilnik o uvjetima za izdavanje suglasnosti za obavljanje stručnih poslova zaštite okoliša („Narodne novine HNŽ/K“, br. 7/2014)</w:t>
      </w:r>
      <w:r w:rsidRPr="006C69B9">
        <w:rPr>
          <w:rFonts w:ascii="Calibri" w:eastAsia="Calibri" w:hAnsi="Calibri" w:cs="Times New Roman"/>
          <w:vertAlign w:val="superscript"/>
          <w:lang w:val="bs-Latn-BA"/>
        </w:rPr>
        <w:footnoteReference w:id="7"/>
      </w:r>
      <w:r w:rsidRPr="006C69B9">
        <w:rPr>
          <w:rFonts w:ascii="Calibri" w:eastAsia="Calibri" w:hAnsi="Calibri" w:cs="Times New Roman"/>
          <w:lang w:val="bs-Latn-BA"/>
        </w:rPr>
        <w:t>.</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U proteklom sedmogodišnjem periodu (od 2013. do 2019.) izdana je ukupno 381 okolišna dozvola za pogone i postrojenja na području Hercegovačko-neretvanske županije, od čega je 63% izdanih dozvola iz mjerodavnosti Ministarstva trgovine, turizma i zaštite okoliša HNŽ/K i 37% dozvola iz mjerodavnosti Federalnog ministarstva okoliša i turizma.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65 Broj izdanih okolišnih dozvola na području HNŽ/K za razdoblje 2013.-2019.</w:t>
      </w:r>
    </w:p>
    <w:tbl>
      <w:tblPr>
        <w:tblStyle w:val="GridTable5Dark-Accent51"/>
        <w:tblW w:w="9072" w:type="dxa"/>
        <w:tblLayout w:type="fixed"/>
        <w:tblLook w:val="06E0"/>
      </w:tblPr>
      <w:tblGrid>
        <w:gridCol w:w="1727"/>
        <w:gridCol w:w="1045"/>
        <w:gridCol w:w="1050"/>
        <w:gridCol w:w="1050"/>
        <w:gridCol w:w="1050"/>
        <w:gridCol w:w="1050"/>
        <w:gridCol w:w="1050"/>
        <w:gridCol w:w="1050"/>
      </w:tblGrid>
      <w:tr w:rsidR="00F85905" w:rsidRPr="006C69B9" w:rsidTr="006C69B9">
        <w:trPr>
          <w:cnfStyle w:val="100000000000"/>
          <w:trHeight w:val="529"/>
        </w:trPr>
        <w:tc>
          <w:tcPr>
            <w:cnfStyle w:val="001000000000"/>
            <w:tcW w:w="1866" w:type="dxa"/>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sz w:val="20"/>
                <w:szCs w:val="20"/>
                <w:lang w:val="bs-Latn-BA"/>
              </w:rPr>
              <w:t>OKOLIŠNE DOZVOLE</w:t>
            </w:r>
          </w:p>
        </w:tc>
        <w:tc>
          <w:tcPr>
            <w:tcW w:w="1121"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2013.</w:t>
            </w:r>
          </w:p>
        </w:tc>
        <w:tc>
          <w:tcPr>
            <w:tcW w:w="1127"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2014.</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r>
      <w:tr w:rsidR="00F85905" w:rsidRPr="006C69B9" w:rsidTr="006C69B9">
        <w:trPr>
          <w:trHeight w:val="227"/>
        </w:trPr>
        <w:tc>
          <w:tcPr>
            <w:cnfStyle w:val="001000000000"/>
            <w:tcW w:w="1866"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MTTZO HNŽ/K</w:t>
            </w:r>
          </w:p>
        </w:tc>
        <w:tc>
          <w:tcPr>
            <w:tcW w:w="112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45</w:t>
            </w:r>
          </w:p>
        </w:tc>
        <w:tc>
          <w:tcPr>
            <w:tcW w:w="1127"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43</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28</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35</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w:t>
            </w:r>
          </w:p>
        </w:tc>
      </w:tr>
      <w:tr w:rsidR="00F85905" w:rsidRPr="006C69B9" w:rsidTr="006C69B9">
        <w:trPr>
          <w:trHeight w:val="223"/>
        </w:trPr>
        <w:tc>
          <w:tcPr>
            <w:cnfStyle w:val="001000000000"/>
            <w:tcW w:w="1866"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FMOIT</w:t>
            </w:r>
          </w:p>
        </w:tc>
        <w:tc>
          <w:tcPr>
            <w:tcW w:w="1121"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43</w:t>
            </w:r>
          </w:p>
        </w:tc>
        <w:tc>
          <w:tcPr>
            <w:tcW w:w="1127"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14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17</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w:t>
            </w:r>
          </w:p>
        </w:tc>
      </w:tr>
      <w:tr w:rsidR="00F85905" w:rsidRPr="006C69B9" w:rsidTr="006C69B9">
        <w:trPr>
          <w:cnfStyle w:val="010000000000"/>
          <w:trHeight w:val="223"/>
        </w:trPr>
        <w:tc>
          <w:tcPr>
            <w:cnfStyle w:val="001000000000"/>
            <w:tcW w:w="1866"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UKUPNO</w:t>
            </w:r>
          </w:p>
        </w:tc>
        <w:tc>
          <w:tcPr>
            <w:tcW w:w="1121"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88</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57</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52</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61</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Ministarstvo trgovine turizma i zaštite okoliša HNŽ/K (mtto-hnz-k.ba) i Federalno ministarstvo okoliša i turizma (fmoit.gov.ba)</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Prema djelatnostima najveći je broj izdanih okolišnih dozvola u županijskoj nadležnosti iz sektora: energetske industrije (129), ekstraktivne i mineralne industrije (36) te poljoprivrede i šumarstva (25). Slično je i s okolišnim dozvolama u nadležnosti Federacije, gdje uz energetsku industriju (75) te ekstraktivnu i mineralnu industriju, dominiraju i okolišne dozvole koje obuhvaćaju infrastrukturne projekte (12). S obzirom na predstojeće procese transponiranja okolišne legislative EU (osobito Direktive 2010/75 EU o industrijskim emisijama) u nacionalno okolišno zakonodavstvo (u procesu usvajanja novi Zakon o zaštiti okoliša F BiH), u narednom periodu očekuju se značajnije promjene u broju izdanih okolišnih dozvola osobito iz sektora energetike i upravljanja vodama</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Grafikon 17 . Okolišne dozvole u HNŽ/K prema djelatnostima za razdoblje 2013.-2019.</w:t>
      </w:r>
    </w:p>
    <w:p w:rsidR="006C69B9" w:rsidRPr="006C69B9" w:rsidRDefault="006C69B9" w:rsidP="006C69B9">
      <w:pPr>
        <w:spacing w:after="100" w:line="360" w:lineRule="auto"/>
        <w:jc w:val="center"/>
        <w:rPr>
          <w:rFonts w:ascii="Times New Roman" w:eastAsia="Calibri" w:hAnsi="Times New Roman" w:cs="Times New Roman"/>
          <w:sz w:val="24"/>
          <w:szCs w:val="24"/>
          <w:lang w:val="bs-Latn-BA"/>
        </w:rPr>
      </w:pPr>
      <w:r w:rsidRPr="006C69B9">
        <w:rPr>
          <w:rFonts w:ascii="Calibri" w:eastAsia="Calibri" w:hAnsi="Calibri" w:cs="Times New Roman"/>
          <w:noProof/>
          <w:lang w:eastAsia="hr-HR"/>
        </w:rPr>
        <w:drawing>
          <wp:inline distT="0" distB="0" distL="0" distR="0">
            <wp:extent cx="5646096" cy="3733800"/>
            <wp:effectExtent l="0" t="0" r="0" b="0"/>
            <wp:docPr id="8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650883" cy="3736966"/>
                    </a:xfrm>
                    <a:prstGeom prst="rect">
                      <a:avLst/>
                    </a:prstGeom>
                    <a:noFill/>
                    <a:ln>
                      <a:noFill/>
                    </a:ln>
                  </pic:spPr>
                </pic:pic>
              </a:graphicData>
            </a:graphic>
          </wp:inline>
        </w:drawing>
      </w:r>
    </w:p>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Ministarstvo trgovine turizma i zaštite okoliša HNŽ/K (mtto-hnz-k.ba) i Federalno ministarstvo okoliša i turizma (fmoit.gov.ba)</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Iz mjerodavnosti Ministarstva trgovine, turizma i zaštite okoliša HNŽ/K u periodu od 2013. do 2019. godine izdane su ukupno 182 dozvole za obnovljene pogone i postrojenja, 36 dozvola za nove pogone i postrojenja i 22 dozvole za postojeće pogone i postrojenja. Najveći broj izdanih okolišnih dozvola zastupljen je u Gradu Mostaru (45%).</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66. Okolišne dozvole iz mjerodavnosti MTTO HNŽ/K prema vrstama djelatnosti za razdoblje 2013.-2019.</w:t>
      </w:r>
    </w:p>
    <w:tbl>
      <w:tblPr>
        <w:tblStyle w:val="GridTable5Dark-Accent51"/>
        <w:tblW w:w="9072" w:type="dxa"/>
        <w:tblLayout w:type="fixed"/>
        <w:tblLook w:val="06E0"/>
      </w:tblPr>
      <w:tblGrid>
        <w:gridCol w:w="1727"/>
        <w:gridCol w:w="1045"/>
        <w:gridCol w:w="1050"/>
        <w:gridCol w:w="1050"/>
        <w:gridCol w:w="1050"/>
        <w:gridCol w:w="1050"/>
        <w:gridCol w:w="1050"/>
        <w:gridCol w:w="1050"/>
      </w:tblGrid>
      <w:tr w:rsidR="00F85905" w:rsidRPr="006C69B9" w:rsidTr="006C69B9">
        <w:trPr>
          <w:cnfStyle w:val="100000000000"/>
          <w:trHeight w:val="529"/>
        </w:trPr>
        <w:tc>
          <w:tcPr>
            <w:cnfStyle w:val="001000000000"/>
            <w:tcW w:w="1866" w:type="dxa"/>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sz w:val="20"/>
                <w:szCs w:val="20"/>
                <w:lang w:val="bs-Latn-BA"/>
              </w:rPr>
              <w:t xml:space="preserve">Vrste okolišnih dozvola </w:t>
            </w:r>
          </w:p>
        </w:tc>
        <w:tc>
          <w:tcPr>
            <w:tcW w:w="1121"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2013.</w:t>
            </w:r>
          </w:p>
        </w:tc>
        <w:tc>
          <w:tcPr>
            <w:tcW w:w="1127"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2014.</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r>
      <w:tr w:rsidR="00F85905" w:rsidRPr="006C69B9" w:rsidTr="006C69B9">
        <w:trPr>
          <w:trHeight w:val="227"/>
        </w:trPr>
        <w:tc>
          <w:tcPr>
            <w:cnfStyle w:val="001000000000"/>
            <w:tcW w:w="1866"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Novi pogoni i postrojenja</w:t>
            </w:r>
          </w:p>
        </w:tc>
        <w:tc>
          <w:tcPr>
            <w:tcW w:w="1121" w:type="dxa"/>
          </w:tcPr>
          <w:p w:rsidR="006C69B9" w:rsidRPr="006C69B9" w:rsidRDefault="006C69B9" w:rsidP="006C69B9">
            <w:pPr>
              <w:spacing w:line="276" w:lineRule="auto"/>
              <w:jc w:val="center"/>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10</w:t>
            </w:r>
          </w:p>
        </w:tc>
        <w:tc>
          <w:tcPr>
            <w:tcW w:w="1127" w:type="dxa"/>
          </w:tcPr>
          <w:p w:rsidR="006C69B9" w:rsidRPr="006C69B9" w:rsidRDefault="006C69B9" w:rsidP="006C69B9">
            <w:pPr>
              <w:spacing w:line="276" w:lineRule="auto"/>
              <w:jc w:val="center"/>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w:t>
            </w:r>
          </w:p>
        </w:tc>
      </w:tr>
      <w:tr w:rsidR="00F85905" w:rsidRPr="006C69B9" w:rsidTr="006C69B9">
        <w:trPr>
          <w:trHeight w:val="223"/>
        </w:trPr>
        <w:tc>
          <w:tcPr>
            <w:cnfStyle w:val="001000000000"/>
            <w:tcW w:w="1866"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Postojeći pogoni i postrojenja</w:t>
            </w:r>
          </w:p>
        </w:tc>
        <w:tc>
          <w:tcPr>
            <w:tcW w:w="1121" w:type="dxa"/>
          </w:tcPr>
          <w:p w:rsidR="006C69B9" w:rsidRPr="006C69B9" w:rsidRDefault="006C69B9" w:rsidP="006C69B9">
            <w:pPr>
              <w:spacing w:line="276" w:lineRule="auto"/>
              <w:jc w:val="center"/>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9</w:t>
            </w:r>
          </w:p>
        </w:tc>
        <w:tc>
          <w:tcPr>
            <w:tcW w:w="1127" w:type="dxa"/>
          </w:tcPr>
          <w:p w:rsidR="006C69B9" w:rsidRPr="006C69B9" w:rsidRDefault="006C69B9" w:rsidP="006C69B9">
            <w:pPr>
              <w:spacing w:line="276" w:lineRule="auto"/>
              <w:jc w:val="center"/>
              <w:cnfStyle w:val="0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9</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p>
        </w:tc>
      </w:tr>
      <w:tr w:rsidR="00F85905" w:rsidRPr="006C69B9" w:rsidTr="006C69B9">
        <w:trPr>
          <w:trHeight w:val="223"/>
        </w:trPr>
        <w:tc>
          <w:tcPr>
            <w:cnfStyle w:val="001000000000"/>
            <w:tcW w:w="1866"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Obnovljeni pogoni i postrojenja</w:t>
            </w:r>
          </w:p>
        </w:tc>
        <w:tc>
          <w:tcPr>
            <w:tcW w:w="1121"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33</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39</w:t>
            </w:r>
          </w:p>
        </w:tc>
      </w:tr>
      <w:tr w:rsidR="00F85905" w:rsidRPr="006C69B9" w:rsidTr="006C69B9">
        <w:trPr>
          <w:cnfStyle w:val="010000000000"/>
          <w:trHeight w:val="223"/>
        </w:trPr>
        <w:tc>
          <w:tcPr>
            <w:cnfStyle w:val="001000000000"/>
            <w:tcW w:w="1866"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Ukupno</w:t>
            </w:r>
          </w:p>
        </w:tc>
        <w:tc>
          <w:tcPr>
            <w:tcW w:w="1121"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45</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43</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27</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28</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21</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35</w:t>
            </w: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 xml:space="preserve">Izvor podataka: Ministarstvo trgovine turizma i zaštite okoliša HNŽ/K (mtto-hnz-k.ba) </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Grafikon 18 . Okolišne dozvole iz mjerodavnosti MTTO HNŽ/K prema gradovima/općinama za razdoblje 2013.-2019.</w:t>
      </w:r>
    </w:p>
    <w:p w:rsidR="006C69B9" w:rsidRPr="006C69B9" w:rsidRDefault="006C69B9" w:rsidP="006C69B9">
      <w:pPr>
        <w:spacing w:after="100" w:line="360" w:lineRule="auto"/>
        <w:jc w:val="center"/>
        <w:rPr>
          <w:rFonts w:ascii="Calibri" w:eastAsia="Calibri" w:hAnsi="Calibri" w:cs="Times New Roman"/>
          <w:lang w:val="bs-Latn-BA" w:eastAsia="hr-HR"/>
        </w:rPr>
      </w:pPr>
      <w:r w:rsidRPr="006C69B9">
        <w:rPr>
          <w:rFonts w:ascii="Calibri" w:eastAsia="Calibri" w:hAnsi="Calibri" w:cs="Times New Roman"/>
          <w:noProof/>
          <w:lang w:eastAsia="hr-HR"/>
        </w:rPr>
        <w:drawing>
          <wp:inline distT="0" distB="0" distL="0" distR="0">
            <wp:extent cx="4762500" cy="3003550"/>
            <wp:effectExtent l="0" t="0" r="0" b="0"/>
            <wp:docPr id="8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4762500" cy="3003550"/>
                    </a:xfrm>
                    <a:prstGeom prst="rect">
                      <a:avLst/>
                    </a:prstGeom>
                    <a:noFill/>
                    <a:ln>
                      <a:noFill/>
                    </a:ln>
                  </pic:spPr>
                </pic:pic>
              </a:graphicData>
            </a:graphic>
          </wp:inline>
        </w:drawing>
      </w:r>
    </w:p>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 xml:space="preserve">Izvor podataka: Ministarstvo trgovine turizma i zaštite okoliša HNŽ/K (mtto-hnz-k.ba) </w:t>
      </w:r>
    </w:p>
    <w:p w:rsidR="006C69B9" w:rsidRPr="006C69B9" w:rsidRDefault="006C69B9" w:rsidP="006C69B9">
      <w:pPr>
        <w:spacing w:after="100" w:line="276" w:lineRule="auto"/>
        <w:jc w:val="center"/>
        <w:rPr>
          <w:rFonts w:ascii="Calibri" w:eastAsia="Calibri" w:hAnsi="Calibri" w:cs="Times New Roman"/>
          <w:lang w:val="bs-Latn-BA"/>
        </w:rPr>
      </w:pP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84" w:name="_Toc54530583"/>
      <w:bookmarkStart w:id="85" w:name="_Toc57573234"/>
      <w:r w:rsidRPr="006C69B9">
        <w:rPr>
          <w:rFonts w:ascii="Calibri" w:eastAsia="Calibri" w:hAnsi="Calibri" w:cs="Times New Roman"/>
          <w:b/>
          <w:bCs/>
          <w:iCs/>
          <w:color w:val="31849B"/>
          <w:sz w:val="24"/>
          <w:szCs w:val="28"/>
          <w:lang w:eastAsia="hr-HR"/>
        </w:rPr>
        <w:t>Reljefne i klimatske značajke</w:t>
      </w:r>
      <w:bookmarkEnd w:id="84"/>
      <w:bookmarkEnd w:id="85"/>
    </w:p>
    <w:p w:rsidR="006C69B9" w:rsidRPr="006C69B9" w:rsidRDefault="006C69B9" w:rsidP="006C69B9">
      <w:pPr>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Reljefne značajke Županije obuhvaćaju dva pojasa: brdsko-planinski pojas (od 700 do 1.2000 mnv i više) i mediteranski pojas (do 700 mnv). Od ukupne površine teritorija HNŽ-a, 66,58% predstavlja planinski pojas, a 33,42% mediteranski pojas</w:t>
      </w:r>
      <w:r w:rsidRPr="006C69B9">
        <w:rPr>
          <w:rFonts w:ascii="Calibri" w:eastAsia="Calibri" w:hAnsi="Calibri" w:cs="Times New Roman"/>
          <w:vertAlign w:val="superscript"/>
          <w:lang w:val="bs-Latn-BA"/>
        </w:rPr>
        <w:footnoteReference w:id="8"/>
      </w:r>
      <w:r w:rsidRPr="006C69B9">
        <w:rPr>
          <w:rFonts w:ascii="Calibri" w:eastAsia="Calibri" w:hAnsi="Calibri" w:cs="Times New Roman"/>
          <w:lang w:val="bs-Latn-BA"/>
        </w:rPr>
        <w:t xml:space="preserve">.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Zbog svog specifičnog položaja, HNŽ ima jedinstvenu krajobraznu raznolikost, koja obuhvaća kontinentalne i primorske te nizinske i planinske krajolike. Na sjeveru prevladavaju visoke hercegovačke planine, koje se postupno spuštaju do Jadranskog mora, dok u središnjem dijelu Županije dominira rijeka Neretva. Prema konfiguraciji terena mogu se izdvojiti četiri nadmorska horizonta ili klimatske cjeline:</w:t>
      </w:r>
    </w:p>
    <w:p w:rsidR="006C69B9" w:rsidRPr="006C69B9" w:rsidRDefault="006C69B9" w:rsidP="00F85905">
      <w:pPr>
        <w:numPr>
          <w:ilvl w:val="0"/>
          <w:numId w:val="10"/>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&lt; 100 mnv – nizinska: gradovi Mostar i Čapljina te općine Stolac, Čapljina i Neum;</w:t>
      </w:r>
    </w:p>
    <w:p w:rsidR="006C69B9" w:rsidRPr="006C69B9" w:rsidRDefault="006C69B9" w:rsidP="00F85905">
      <w:pPr>
        <w:numPr>
          <w:ilvl w:val="0"/>
          <w:numId w:val="10"/>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100 – 300 mnv – središnja: općine Čitluk, Ravno i Jablanica;</w:t>
      </w:r>
    </w:p>
    <w:p w:rsidR="006C69B9" w:rsidRPr="006C69B9" w:rsidRDefault="006C69B9" w:rsidP="00F85905">
      <w:pPr>
        <w:numPr>
          <w:ilvl w:val="0"/>
          <w:numId w:val="10"/>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300 – 700 mnv – viša: Općina Konjic;</w:t>
      </w:r>
    </w:p>
    <w:p w:rsidR="006C69B9" w:rsidRPr="006C69B9" w:rsidRDefault="006C69B9" w:rsidP="00F85905">
      <w:pPr>
        <w:numPr>
          <w:ilvl w:val="0"/>
          <w:numId w:val="10"/>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&gt; 700 mnv – visoka: Općina Prozor-Rama.</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Zbog svog položaja i velike heterogenosti prostora područje Županije obuhvaća tri klimatska pojasa: mediteranske, kontinentalne i planinske klime. Godišnje vrijednosti važnijih meteoroloških pojava prikazane su u tablici 3. </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67. Vrijednosti važnijih meteoroloških pojava u HNŽ-u (2015.- 2019. godine)</w:t>
      </w:r>
    </w:p>
    <w:tbl>
      <w:tblPr>
        <w:tblStyle w:val="MediumGrid3-Accent51"/>
        <w:tblW w:w="8504" w:type="dxa"/>
        <w:jc w:val="center"/>
        <w:tblLayout w:type="fixed"/>
        <w:tblLook w:val="06E0"/>
      </w:tblPr>
      <w:tblGrid>
        <w:gridCol w:w="2869"/>
        <w:gridCol w:w="1127"/>
        <w:gridCol w:w="1127"/>
        <w:gridCol w:w="1127"/>
        <w:gridCol w:w="1127"/>
        <w:gridCol w:w="1127"/>
      </w:tblGrid>
      <w:tr w:rsidR="00F85905" w:rsidRPr="006C69B9" w:rsidTr="006C69B9">
        <w:trPr>
          <w:cnfStyle w:val="100000000000"/>
          <w:trHeight w:val="529"/>
          <w:jc w:val="center"/>
        </w:trPr>
        <w:tc>
          <w:tcPr>
            <w:cnfStyle w:val="001000000000"/>
            <w:tcW w:w="2869" w:type="dxa"/>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sz w:val="20"/>
                <w:szCs w:val="20"/>
                <w:lang w:val="bs-Latn-BA"/>
              </w:rPr>
              <w:t>METEOROLOŠKE POJAVE</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12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r>
      <w:tr w:rsidR="006C69B9" w:rsidRPr="006C69B9" w:rsidTr="006C69B9">
        <w:trPr>
          <w:trHeight w:val="227"/>
          <w:jc w:val="center"/>
        </w:trPr>
        <w:tc>
          <w:tcPr>
            <w:cnfStyle w:val="001000000000"/>
            <w:tcW w:w="8504" w:type="dxa"/>
            <w:gridSpan w:val="6"/>
            <w:shd w:val="clear" w:color="auto" w:fill="D2EAF1"/>
          </w:tcPr>
          <w:p w:rsidR="006C69B9" w:rsidRPr="006C69B9" w:rsidRDefault="006C69B9" w:rsidP="006C69B9">
            <w:pPr>
              <w:spacing w:line="276" w:lineRule="auto"/>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Srednje godišnje vrijednosti</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Tlak zraka (mb)</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1.005,5</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1004,6</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1005,0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1003,2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1003,4</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Temperatura ZRAKA (°C)</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15,8</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16,6</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16,4</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Relativna vlažnost zraka (%)</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65</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67</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65</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69</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67</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Oblačnost (osmina)</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3,7</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w:t>
            </w:r>
          </w:p>
        </w:tc>
      </w:tr>
      <w:tr w:rsidR="006C69B9" w:rsidRPr="006C69B9" w:rsidTr="006C69B9">
        <w:trPr>
          <w:trHeight w:val="223"/>
          <w:jc w:val="center"/>
        </w:trPr>
        <w:tc>
          <w:tcPr>
            <w:cnfStyle w:val="001000000000"/>
            <w:tcW w:w="8504" w:type="dxa"/>
            <w:gridSpan w:val="6"/>
            <w:shd w:val="clear" w:color="auto" w:fill="D2EAF1"/>
          </w:tcPr>
          <w:p w:rsidR="006C69B9" w:rsidRPr="006C69B9" w:rsidRDefault="006C69B9" w:rsidP="006C69B9">
            <w:pPr>
              <w:spacing w:line="276" w:lineRule="auto"/>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Godišnje vrijednosti</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Apsolutna max. Temperatura zraka (°c)</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41,9</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41,9</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40,6</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Apsolutna min. Temperatura zraka (°c)</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-9,3</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-4,9</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-3,8</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Količina padalina (l/m2)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1.326,4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1394,1</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1272,4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1475,4</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1557,0</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dana s padalinama (≥ 0,1 mm)</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97</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136</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98</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142</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140</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Broj dana sa snježnim pokrivačem (&gt; 1 cm)</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Maksimalna visina snježnog pokrivača (cm)</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w:t>
            </w:r>
          </w:p>
        </w:tc>
      </w:tr>
      <w:tr w:rsidR="00F85905" w:rsidRPr="006C69B9" w:rsidTr="006C69B9">
        <w:trPr>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Trajanje sijanja sunca (sati)</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2.608,7</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2.370,3</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2.626,9</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2.322,5</w:t>
            </w:r>
          </w:p>
        </w:tc>
        <w:tc>
          <w:tcPr>
            <w:tcW w:w="112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2.402,2</w:t>
            </w:r>
          </w:p>
        </w:tc>
      </w:tr>
      <w:tr w:rsidR="00F85905" w:rsidRPr="006C69B9" w:rsidTr="006C69B9">
        <w:trPr>
          <w:cnfStyle w:val="010000000000"/>
          <w:trHeight w:val="223"/>
          <w:jc w:val="center"/>
        </w:trPr>
        <w:tc>
          <w:tcPr>
            <w:cnfStyle w:val="001000000000"/>
            <w:tcW w:w="2869" w:type="dxa"/>
          </w:tcPr>
          <w:p w:rsidR="006C69B9" w:rsidRPr="006C69B9" w:rsidRDefault="006C69B9" w:rsidP="006C69B9">
            <w:pPr>
              <w:spacing w:line="276" w:lineRule="auto"/>
              <w:rPr>
                <w:rFonts w:ascii="Calibri" w:eastAsia="Calibri" w:hAnsi="Calibri" w:cs="Times New Roman"/>
                <w:sz w:val="20"/>
                <w:szCs w:val="20"/>
                <w:lang w:val="bs-Latn-BA"/>
              </w:rPr>
            </w:pP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c>
          <w:tcPr>
            <w:tcW w:w="112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Federalni zavod za statistiku, 2020.</w:t>
      </w:r>
    </w:p>
    <w:p w:rsidR="006C69B9" w:rsidRPr="006C69B9" w:rsidRDefault="006C69B9" w:rsidP="006C69B9">
      <w:pPr>
        <w:spacing w:after="100" w:line="276" w:lineRule="auto"/>
        <w:rPr>
          <w:rFonts w:ascii="Calibri" w:eastAsia="Calibri" w:hAnsi="Calibri" w:cs="Times New Roman"/>
          <w:i/>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Za sjeverne dijelove HNŽ-a (općine Prozor - Rama, Konjic i Jablanica) značajna je prijelazna mediteransko – kontinentalna klima, dok viši dijelovi imaju planinsku klimu, s umjereno toplim ljetima (18°C do 20°C) i hladnim zimama (-2°C do -4°C ). Padaline su ravnomjerno raspoređene, vidu kiše i snijega, a snježni pokrivač traje u prosjeku jedan do dva mjeseca. Srednja godišnja oblačnost je između 52% i 69%. Insolacija je najizraženija u srpnju i kolovozu, dok svoj minimum doseže u prosincu. Područje kontinentalne klime u HNŽ se odlikuje toplim ljetima (20°C do 24°C) i manje blagim zimama (0°C do 5°C). Najtopliji mjeseci su srpanj i kolovoz, a najhladniji siječanj i prosinac. Padalina su raspoređene tijekom cijele godine, s manje izraženim maksimumima u proljeće i jesen. Oblačnost je umjerena, a insolacija iznosi više od 2.000 sati godišnje. Središnji dio HNŽ (područje Mostara i južni dio koji obuhvaća područja Čapljine, Čitluka, Stoca, Ravnog i Neuma) ima značajke mediteranske klime. Zbog razmjerne blizine Jadranskog mora, srednje siječanjske temperature su razmjerno visoke, 3°C - 5°C, dok su ljeta suha i vruća, s vrijednostima apsolutnih maksimalnih temperatura od 40°C - 45°C</w:t>
      </w:r>
      <w:r w:rsidRPr="006C69B9">
        <w:rPr>
          <w:rFonts w:ascii="Calibri" w:eastAsia="Calibri" w:hAnsi="Calibri" w:cs="Times New Roman"/>
          <w:vertAlign w:val="superscript"/>
          <w:lang w:val="bs-Latn-BA"/>
        </w:rPr>
        <w:footnoteReference w:id="9"/>
      </w:r>
      <w:r w:rsidRPr="006C69B9">
        <w:rPr>
          <w:rFonts w:ascii="Calibri" w:eastAsia="Calibri" w:hAnsi="Calibri" w:cs="Times New Roman"/>
          <w:lang w:val="bs-Latn-BA"/>
        </w:rPr>
        <w:t>.</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86" w:name="_Toc54530584"/>
      <w:bookmarkStart w:id="87" w:name="_Toc57573235"/>
      <w:r w:rsidRPr="006C69B9">
        <w:rPr>
          <w:rFonts w:ascii="Calibri" w:eastAsia="Calibri" w:hAnsi="Calibri" w:cs="Times New Roman"/>
          <w:b/>
          <w:bCs/>
          <w:iCs/>
          <w:color w:val="31849B"/>
          <w:sz w:val="24"/>
          <w:szCs w:val="28"/>
          <w:lang w:eastAsia="hr-HR"/>
        </w:rPr>
        <w:t>Kvaliteta zraka</w:t>
      </w:r>
      <w:bookmarkEnd w:id="86"/>
      <w:bookmarkEnd w:id="87"/>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Zahvaljujući povoljnim klimatološkim uvjetima, a prvenstveno uslijed prirodne prozračnosti ovog područja, procjenjuje se da je kvaliteta zraka na području Županije općenito zadovoljavajuća, s obzirom na </w:t>
      </w:r>
      <w:r w:rsidRPr="006C69B9">
        <w:rPr>
          <w:rFonts w:ascii="Calibri" w:eastAsia="Calibri" w:hAnsi="Calibri" w:cs="Times New Roman"/>
          <w:b/>
          <w:lang w:val="bs-Latn-BA"/>
        </w:rPr>
        <w:t>nedostatne podatke i nepostojanje sustavnih višegodišnjih  mjerenja pokazatelje kvaliteta zraka</w:t>
      </w:r>
      <w:r w:rsidRPr="006C69B9">
        <w:rPr>
          <w:rFonts w:ascii="Calibri" w:eastAsia="Calibri" w:hAnsi="Calibri" w:cs="Times New Roman"/>
          <w:lang w:val="bs-Latn-BA"/>
        </w:rPr>
        <w:t xml:space="preserve">. Mjerne postaje za kvalitetu zraka nalaze se samo na području Grada Mostara, gdje postoje raniji podaci s dvije stanice kojima upravljaju Zavod za javno zdravstvo HNŽ i FPMOZ </w:t>
      </w:r>
      <w:r w:rsidRPr="006C69B9">
        <w:rPr>
          <w:rFonts w:ascii="Calibri" w:eastAsia="Calibri" w:hAnsi="Calibri" w:cs="Times New Roman"/>
          <w:lang w:val="bs-Latn-BA"/>
        </w:rPr>
        <w:lastRenderedPageBreak/>
        <w:t>Sveučilišta u Mostaru. Za obje mjerne postaje noviji podaci nisu dostupni obzirom da mjerne stanice ili nisu u funkciji ili mjere samo pojedine pokazatelje kvalitete zraka. Noviji podaci (2020. godina) postoje za područje u južnom dijelu šireg područja Grada Mostara, gdje su obavljena mjerenja koncentracija onečišćujućih tvari u ambijentalnom zraku</w:t>
      </w:r>
      <w:r w:rsidRPr="006C69B9">
        <w:rPr>
          <w:rFonts w:ascii="Calibri" w:eastAsia="Calibri" w:hAnsi="Calibri" w:cs="Times New Roman"/>
          <w:vertAlign w:val="superscript"/>
          <w:lang w:val="bs-Latn-BA"/>
        </w:rPr>
        <w:footnoteReference w:id="10"/>
      </w:r>
      <w:r w:rsidRPr="006C69B9">
        <w:rPr>
          <w:rFonts w:ascii="Calibri" w:eastAsia="Calibri" w:hAnsi="Calibri" w:cs="Times New Roman"/>
          <w:lang w:val="bs-Latn-BA"/>
        </w:rPr>
        <w:t>.</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68. Rezultati mjerenja kvaliteta zraka na dvije lokacije (MM1 i MM2) poddionice Koridora Vc, Mostar jug – tunel Kvanj.</w:t>
      </w:r>
    </w:p>
    <w:tbl>
      <w:tblPr>
        <w:tblStyle w:val="MediumGrid3-Accent51"/>
        <w:tblW w:w="9204" w:type="dxa"/>
        <w:jc w:val="center"/>
        <w:tblLayout w:type="fixed"/>
        <w:tblLook w:val="06E0"/>
      </w:tblPr>
      <w:tblGrid>
        <w:gridCol w:w="2542"/>
        <w:gridCol w:w="2126"/>
        <w:gridCol w:w="2019"/>
        <w:gridCol w:w="2517"/>
      </w:tblGrid>
      <w:tr w:rsidR="00F85905" w:rsidRPr="006C69B9" w:rsidTr="006C69B9">
        <w:trPr>
          <w:cnfStyle w:val="100000000000"/>
          <w:trHeight w:val="529"/>
          <w:jc w:val="center"/>
        </w:trPr>
        <w:tc>
          <w:tcPr>
            <w:cnfStyle w:val="001000000000"/>
            <w:tcW w:w="2542" w:type="dxa"/>
          </w:tcPr>
          <w:p w:rsidR="006C69B9" w:rsidRPr="006C69B9" w:rsidRDefault="006C69B9" w:rsidP="006C69B9">
            <w:pPr>
              <w:spacing w:line="276" w:lineRule="auto"/>
              <w:jc w:val="center"/>
              <w:rPr>
                <w:rFonts w:ascii="Calibri" w:eastAsia="Calibri" w:hAnsi="Calibri" w:cs="Calibri"/>
                <w:sz w:val="20"/>
                <w:szCs w:val="20"/>
                <w:lang w:val="bs-Latn-BA"/>
              </w:rPr>
            </w:pPr>
            <w:r w:rsidRPr="006C69B9">
              <w:rPr>
                <w:rFonts w:ascii="Calibri" w:eastAsia="Calibri" w:hAnsi="Calibri" w:cs="Times New Roman"/>
                <w:sz w:val="20"/>
                <w:szCs w:val="20"/>
                <w:lang w:val="bs-Latn-BA"/>
              </w:rPr>
              <w:t>ZAGAĐUJUĆA TVAR</w:t>
            </w:r>
          </w:p>
        </w:tc>
        <w:tc>
          <w:tcPr>
            <w:tcW w:w="2126"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IZMJERENA VRIJEDNOST ZA MM1</w:t>
            </w:r>
          </w:p>
        </w:tc>
        <w:tc>
          <w:tcPr>
            <w:tcW w:w="2019" w:type="dxa"/>
          </w:tcPr>
          <w:p w:rsidR="006C69B9" w:rsidRPr="006C69B9" w:rsidRDefault="006C69B9" w:rsidP="006C69B9">
            <w:pPr>
              <w:spacing w:line="276" w:lineRule="auto"/>
              <w:jc w:val="center"/>
              <w:cnfStyle w:val="100000000000"/>
              <w:rPr>
                <w:rFonts w:ascii="Calibri" w:eastAsia="Calibri" w:hAnsi="Calibri" w:cs="Calibri"/>
                <w:sz w:val="20"/>
                <w:szCs w:val="20"/>
                <w:lang w:val="bs-Latn-BA"/>
              </w:rPr>
            </w:pPr>
            <w:r w:rsidRPr="006C69B9">
              <w:rPr>
                <w:rFonts w:ascii="Calibri" w:eastAsia="Calibri" w:hAnsi="Calibri" w:cs="Times New Roman"/>
                <w:sz w:val="20"/>
                <w:szCs w:val="20"/>
                <w:lang w:val="bs-Latn-BA"/>
              </w:rPr>
              <w:t>IZMJERENA VRIJEDNOST ZA MM2</w:t>
            </w:r>
          </w:p>
        </w:tc>
        <w:tc>
          <w:tcPr>
            <w:tcW w:w="2517" w:type="dxa"/>
          </w:tcPr>
          <w:p w:rsidR="006C69B9" w:rsidRPr="006C69B9" w:rsidRDefault="006C69B9" w:rsidP="006C69B9">
            <w:pPr>
              <w:spacing w:line="276" w:lineRule="auto"/>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GRANIČNE VRIJEDNOSTI*</w:t>
            </w:r>
          </w:p>
        </w:tc>
      </w:tr>
      <w:tr w:rsidR="00F85905" w:rsidRPr="006C69B9" w:rsidTr="006C69B9">
        <w:trPr>
          <w:trHeight w:val="227"/>
          <w:jc w:val="center"/>
        </w:trPr>
        <w:tc>
          <w:tcPr>
            <w:cnfStyle w:val="001000000000"/>
            <w:tcW w:w="2542"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CO (mg/m</w:t>
            </w:r>
            <w:r w:rsidRPr="006C69B9">
              <w:rPr>
                <w:rFonts w:ascii="Calibri" w:eastAsia="Calibri" w:hAnsi="Calibri" w:cs="Times New Roman"/>
                <w:sz w:val="20"/>
                <w:szCs w:val="20"/>
                <w:vertAlign w:val="superscript"/>
                <w:lang w:val="bs-Latn-BA"/>
              </w:rPr>
              <w:t>3</w:t>
            </w:r>
            <w:r w:rsidRPr="006C69B9">
              <w:rPr>
                <w:rFonts w:ascii="Calibri" w:eastAsia="Calibri" w:hAnsi="Calibri" w:cs="Times New Roman"/>
                <w:sz w:val="20"/>
                <w:szCs w:val="20"/>
                <w:lang w:val="bs-Latn-BA"/>
              </w:rPr>
              <w:t>)</w:t>
            </w:r>
          </w:p>
        </w:tc>
        <w:tc>
          <w:tcPr>
            <w:tcW w:w="2126"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0,26</w:t>
            </w:r>
          </w:p>
        </w:tc>
        <w:tc>
          <w:tcPr>
            <w:tcW w:w="2019"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0,17</w:t>
            </w:r>
          </w:p>
        </w:tc>
        <w:tc>
          <w:tcPr>
            <w:tcW w:w="251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rPr>
          <w:trHeight w:val="223"/>
          <w:jc w:val="center"/>
        </w:trPr>
        <w:tc>
          <w:tcPr>
            <w:cnfStyle w:val="001000000000"/>
            <w:tcW w:w="2542" w:type="dxa"/>
          </w:tcPr>
          <w:p w:rsidR="006C69B9" w:rsidRPr="006C69B9" w:rsidRDefault="006C69B9" w:rsidP="006C69B9">
            <w:pPr>
              <w:spacing w:line="276" w:lineRule="auto"/>
              <w:rPr>
                <w:rFonts w:ascii="Calibri" w:eastAsia="Calibri" w:hAnsi="Calibri" w:cs="Calibri"/>
                <w:sz w:val="20"/>
                <w:szCs w:val="20"/>
                <w:lang w:val="bs-Latn-BA"/>
              </w:rPr>
            </w:pPr>
            <w:r w:rsidRPr="006C69B9">
              <w:rPr>
                <w:rFonts w:ascii="Calibri" w:eastAsia="Calibri" w:hAnsi="Calibri" w:cs="Times New Roman"/>
                <w:sz w:val="20"/>
                <w:szCs w:val="20"/>
                <w:lang w:val="bs-Latn-BA"/>
              </w:rPr>
              <w:t>SO</w:t>
            </w:r>
            <w:r w:rsidRPr="006C69B9">
              <w:rPr>
                <w:rFonts w:ascii="Calibri" w:eastAsia="Calibri" w:hAnsi="Calibri" w:cs="Times New Roman"/>
                <w:sz w:val="20"/>
                <w:szCs w:val="20"/>
                <w:vertAlign w:val="subscript"/>
                <w:lang w:val="bs-Latn-BA"/>
              </w:rPr>
              <w:t>2</w:t>
            </w:r>
            <w:r w:rsidRPr="006C69B9">
              <w:rPr>
                <w:rFonts w:ascii="Calibri" w:eastAsia="Calibri" w:hAnsi="Calibri" w:cs="Times New Roman"/>
                <w:sz w:val="20"/>
                <w:szCs w:val="20"/>
                <w:lang w:val="bs-Latn-BA"/>
              </w:rPr>
              <w:t xml:space="preserve"> (</w:t>
            </w:r>
            <w:r w:rsidRPr="006C69B9">
              <w:rPr>
                <w:rFonts w:ascii="Calibri" w:eastAsia="Calibri" w:hAnsi="Calibri" w:cs="Calibri"/>
                <w:sz w:val="20"/>
                <w:szCs w:val="20"/>
                <w:lang w:val="bs-Latn-BA"/>
              </w:rPr>
              <w:t>µ</w:t>
            </w:r>
            <w:r w:rsidRPr="006C69B9">
              <w:rPr>
                <w:rFonts w:ascii="Calibri" w:eastAsia="Calibri" w:hAnsi="Calibri" w:cs="Times New Roman"/>
                <w:sz w:val="20"/>
                <w:szCs w:val="20"/>
                <w:lang w:val="bs-Latn-BA"/>
              </w:rPr>
              <w:t>g/m</w:t>
            </w:r>
            <w:r w:rsidRPr="006C69B9">
              <w:rPr>
                <w:rFonts w:ascii="Calibri" w:eastAsia="Calibri" w:hAnsi="Calibri" w:cs="Times New Roman"/>
                <w:sz w:val="20"/>
                <w:szCs w:val="20"/>
                <w:vertAlign w:val="superscript"/>
                <w:lang w:val="bs-Latn-BA"/>
              </w:rPr>
              <w:t>3</w:t>
            </w:r>
            <w:r w:rsidRPr="006C69B9">
              <w:rPr>
                <w:rFonts w:ascii="Calibri" w:eastAsia="Calibri" w:hAnsi="Calibri" w:cs="Times New Roman"/>
                <w:sz w:val="20"/>
                <w:szCs w:val="20"/>
                <w:lang w:val="bs-Latn-BA"/>
              </w:rPr>
              <w:t>)</w:t>
            </w:r>
          </w:p>
        </w:tc>
        <w:tc>
          <w:tcPr>
            <w:tcW w:w="2126"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8,27</w:t>
            </w:r>
          </w:p>
        </w:tc>
        <w:tc>
          <w:tcPr>
            <w:tcW w:w="2019" w:type="dxa"/>
          </w:tcPr>
          <w:p w:rsidR="006C69B9" w:rsidRPr="006C69B9" w:rsidRDefault="006C69B9" w:rsidP="006C69B9">
            <w:pPr>
              <w:spacing w:line="276" w:lineRule="auto"/>
              <w:jc w:val="center"/>
              <w:cnfStyle w:val="000000000000"/>
              <w:rPr>
                <w:rFonts w:ascii="Calibri" w:eastAsia="Calibri" w:hAnsi="Calibri" w:cs="Calibri"/>
                <w:color w:val="000000"/>
                <w:sz w:val="20"/>
                <w:szCs w:val="20"/>
                <w:lang w:val="bs-Latn-BA"/>
              </w:rPr>
            </w:pPr>
            <w:r w:rsidRPr="006C69B9">
              <w:rPr>
                <w:rFonts w:ascii="Calibri" w:eastAsia="Calibri" w:hAnsi="Calibri" w:cs="Times New Roman"/>
                <w:sz w:val="20"/>
                <w:szCs w:val="20"/>
                <w:lang w:val="bs-Latn-BA"/>
              </w:rPr>
              <w:t>5,38</w:t>
            </w:r>
          </w:p>
        </w:tc>
        <w:tc>
          <w:tcPr>
            <w:tcW w:w="251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LV=350</w:t>
            </w:r>
          </w:p>
        </w:tc>
      </w:tr>
      <w:tr w:rsidR="00F85905" w:rsidRPr="006C69B9" w:rsidTr="006C69B9">
        <w:trPr>
          <w:trHeight w:val="223"/>
          <w:jc w:val="center"/>
        </w:trPr>
        <w:tc>
          <w:tcPr>
            <w:cnfStyle w:val="001000000000"/>
            <w:tcW w:w="2542"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O</w:t>
            </w:r>
            <w:r w:rsidRPr="006C69B9">
              <w:rPr>
                <w:rFonts w:ascii="Calibri" w:eastAsia="Calibri" w:hAnsi="Calibri" w:cs="Times New Roman"/>
                <w:sz w:val="20"/>
                <w:szCs w:val="20"/>
                <w:vertAlign w:val="subscript"/>
                <w:lang w:val="bs-Latn-BA"/>
              </w:rPr>
              <w:t>3</w:t>
            </w:r>
            <w:r w:rsidRPr="006C69B9">
              <w:rPr>
                <w:rFonts w:ascii="Calibri" w:eastAsia="Calibri" w:hAnsi="Calibri" w:cs="Times New Roman"/>
                <w:sz w:val="20"/>
                <w:szCs w:val="20"/>
                <w:lang w:val="bs-Latn-BA"/>
              </w:rPr>
              <w:t xml:space="preserve"> (</w:t>
            </w:r>
            <w:r w:rsidRPr="006C69B9">
              <w:rPr>
                <w:rFonts w:ascii="Calibri" w:eastAsia="Calibri" w:hAnsi="Calibri" w:cs="Calibri"/>
                <w:sz w:val="20"/>
                <w:szCs w:val="20"/>
                <w:lang w:val="bs-Latn-BA"/>
              </w:rPr>
              <w:t>µ</w:t>
            </w:r>
            <w:r w:rsidRPr="006C69B9">
              <w:rPr>
                <w:rFonts w:ascii="Calibri" w:eastAsia="Calibri" w:hAnsi="Calibri" w:cs="Times New Roman"/>
                <w:sz w:val="20"/>
                <w:szCs w:val="20"/>
                <w:lang w:val="bs-Latn-BA"/>
              </w:rPr>
              <w:t>g/m</w:t>
            </w:r>
            <w:r w:rsidRPr="006C69B9">
              <w:rPr>
                <w:rFonts w:ascii="Calibri" w:eastAsia="Calibri" w:hAnsi="Calibri" w:cs="Times New Roman"/>
                <w:sz w:val="20"/>
                <w:szCs w:val="20"/>
                <w:vertAlign w:val="superscript"/>
                <w:lang w:val="bs-Latn-BA"/>
              </w:rPr>
              <w:t>3</w:t>
            </w:r>
            <w:r w:rsidRPr="006C69B9">
              <w:rPr>
                <w:rFonts w:ascii="Calibri" w:eastAsia="Calibri" w:hAnsi="Calibri" w:cs="Times New Roman"/>
                <w:sz w:val="20"/>
                <w:szCs w:val="20"/>
                <w:lang w:val="bs-Latn-BA"/>
              </w:rPr>
              <w:t>)</w:t>
            </w:r>
          </w:p>
        </w:tc>
        <w:tc>
          <w:tcPr>
            <w:tcW w:w="2126"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79,02</w:t>
            </w:r>
          </w:p>
        </w:tc>
        <w:tc>
          <w:tcPr>
            <w:tcW w:w="2019"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51,36</w:t>
            </w:r>
          </w:p>
        </w:tc>
        <w:tc>
          <w:tcPr>
            <w:tcW w:w="251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TV=120</w:t>
            </w:r>
          </w:p>
        </w:tc>
      </w:tr>
      <w:tr w:rsidR="00F85905" w:rsidRPr="006C69B9" w:rsidTr="006C69B9">
        <w:trPr>
          <w:trHeight w:val="223"/>
          <w:jc w:val="center"/>
        </w:trPr>
        <w:tc>
          <w:tcPr>
            <w:cnfStyle w:val="001000000000"/>
            <w:tcW w:w="2542"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NO (</w:t>
            </w:r>
            <w:r w:rsidRPr="006C69B9">
              <w:rPr>
                <w:rFonts w:ascii="Calibri" w:eastAsia="Calibri" w:hAnsi="Calibri" w:cs="Calibri"/>
                <w:sz w:val="20"/>
                <w:szCs w:val="20"/>
                <w:lang w:val="bs-Latn-BA"/>
              </w:rPr>
              <w:t>µ</w:t>
            </w:r>
            <w:r w:rsidRPr="006C69B9">
              <w:rPr>
                <w:rFonts w:ascii="Calibri" w:eastAsia="Calibri" w:hAnsi="Calibri" w:cs="Times New Roman"/>
                <w:sz w:val="20"/>
                <w:szCs w:val="20"/>
                <w:lang w:val="bs-Latn-BA"/>
              </w:rPr>
              <w:t>g/m</w:t>
            </w:r>
            <w:r w:rsidRPr="006C69B9">
              <w:rPr>
                <w:rFonts w:ascii="Calibri" w:eastAsia="Calibri" w:hAnsi="Calibri" w:cs="Times New Roman"/>
                <w:sz w:val="20"/>
                <w:szCs w:val="20"/>
                <w:vertAlign w:val="superscript"/>
                <w:lang w:val="bs-Latn-BA"/>
              </w:rPr>
              <w:t>3</w:t>
            </w:r>
            <w:r w:rsidRPr="006C69B9">
              <w:rPr>
                <w:rFonts w:ascii="Calibri" w:eastAsia="Calibri" w:hAnsi="Calibri" w:cs="Times New Roman"/>
                <w:sz w:val="20"/>
                <w:szCs w:val="20"/>
                <w:lang w:val="bs-Latn-BA"/>
              </w:rPr>
              <w:t>)</w:t>
            </w:r>
          </w:p>
        </w:tc>
        <w:tc>
          <w:tcPr>
            <w:tcW w:w="2126"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10,93</w:t>
            </w:r>
          </w:p>
        </w:tc>
        <w:tc>
          <w:tcPr>
            <w:tcW w:w="2019"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7,10</w:t>
            </w:r>
          </w:p>
        </w:tc>
        <w:tc>
          <w:tcPr>
            <w:tcW w:w="251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rPr>
          <w:trHeight w:val="223"/>
          <w:jc w:val="center"/>
        </w:trPr>
        <w:tc>
          <w:tcPr>
            <w:cnfStyle w:val="001000000000"/>
            <w:tcW w:w="2542"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NO</w:t>
            </w:r>
            <w:r w:rsidRPr="006C69B9">
              <w:rPr>
                <w:rFonts w:ascii="Calibri" w:eastAsia="Calibri" w:hAnsi="Calibri" w:cs="Times New Roman"/>
                <w:sz w:val="20"/>
                <w:szCs w:val="20"/>
                <w:vertAlign w:val="subscript"/>
                <w:lang w:val="bs-Latn-BA"/>
              </w:rPr>
              <w:t xml:space="preserve">2 </w:t>
            </w:r>
            <w:r w:rsidRPr="006C69B9">
              <w:rPr>
                <w:rFonts w:ascii="Calibri" w:eastAsia="Calibri" w:hAnsi="Calibri" w:cs="Times New Roman"/>
                <w:sz w:val="20"/>
                <w:szCs w:val="20"/>
                <w:lang w:val="bs-Latn-BA"/>
              </w:rPr>
              <w:t>(</w:t>
            </w:r>
            <w:r w:rsidRPr="006C69B9">
              <w:rPr>
                <w:rFonts w:ascii="Calibri" w:eastAsia="Calibri" w:hAnsi="Calibri" w:cs="Calibri"/>
                <w:sz w:val="20"/>
                <w:szCs w:val="20"/>
                <w:lang w:val="bs-Latn-BA"/>
              </w:rPr>
              <w:t>µ</w:t>
            </w:r>
            <w:r w:rsidRPr="006C69B9">
              <w:rPr>
                <w:rFonts w:ascii="Calibri" w:eastAsia="Calibri" w:hAnsi="Calibri" w:cs="Times New Roman"/>
                <w:sz w:val="20"/>
                <w:szCs w:val="20"/>
                <w:lang w:val="bs-Latn-BA"/>
              </w:rPr>
              <w:t>g/m</w:t>
            </w:r>
            <w:r w:rsidRPr="006C69B9">
              <w:rPr>
                <w:rFonts w:ascii="Calibri" w:eastAsia="Calibri" w:hAnsi="Calibri" w:cs="Times New Roman"/>
                <w:sz w:val="20"/>
                <w:szCs w:val="20"/>
                <w:vertAlign w:val="superscript"/>
                <w:lang w:val="bs-Latn-BA"/>
              </w:rPr>
              <w:t>3</w:t>
            </w:r>
            <w:r w:rsidRPr="006C69B9">
              <w:rPr>
                <w:rFonts w:ascii="Calibri" w:eastAsia="Calibri" w:hAnsi="Calibri" w:cs="Times New Roman"/>
                <w:sz w:val="20"/>
                <w:szCs w:val="20"/>
                <w:lang w:val="bs-Latn-BA"/>
              </w:rPr>
              <w:t>)</w:t>
            </w:r>
          </w:p>
        </w:tc>
        <w:tc>
          <w:tcPr>
            <w:tcW w:w="2126"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24,15</w:t>
            </w:r>
          </w:p>
        </w:tc>
        <w:tc>
          <w:tcPr>
            <w:tcW w:w="2019"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15,70</w:t>
            </w:r>
          </w:p>
        </w:tc>
        <w:tc>
          <w:tcPr>
            <w:tcW w:w="251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LV=200</w:t>
            </w:r>
          </w:p>
        </w:tc>
      </w:tr>
      <w:tr w:rsidR="00F85905" w:rsidRPr="006C69B9" w:rsidTr="006C69B9">
        <w:trPr>
          <w:trHeight w:val="223"/>
          <w:jc w:val="center"/>
        </w:trPr>
        <w:tc>
          <w:tcPr>
            <w:cnfStyle w:val="001000000000"/>
            <w:tcW w:w="2542"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NOx (</w:t>
            </w:r>
            <w:r w:rsidRPr="006C69B9">
              <w:rPr>
                <w:rFonts w:ascii="Calibri" w:eastAsia="Calibri" w:hAnsi="Calibri" w:cs="Calibri"/>
                <w:sz w:val="20"/>
                <w:szCs w:val="20"/>
                <w:lang w:val="bs-Latn-BA"/>
              </w:rPr>
              <w:t>µ</w:t>
            </w:r>
            <w:r w:rsidRPr="006C69B9">
              <w:rPr>
                <w:rFonts w:ascii="Calibri" w:eastAsia="Calibri" w:hAnsi="Calibri" w:cs="Times New Roman"/>
                <w:sz w:val="20"/>
                <w:szCs w:val="20"/>
                <w:lang w:val="bs-Latn-BA"/>
              </w:rPr>
              <w:t>g/m</w:t>
            </w:r>
            <w:r w:rsidRPr="006C69B9">
              <w:rPr>
                <w:rFonts w:ascii="Calibri" w:eastAsia="Calibri" w:hAnsi="Calibri" w:cs="Times New Roman"/>
                <w:sz w:val="20"/>
                <w:szCs w:val="20"/>
                <w:vertAlign w:val="superscript"/>
                <w:lang w:val="bs-Latn-BA"/>
              </w:rPr>
              <w:t>3</w:t>
            </w:r>
            <w:r w:rsidRPr="006C69B9">
              <w:rPr>
                <w:rFonts w:ascii="Calibri" w:eastAsia="Calibri" w:hAnsi="Calibri" w:cs="Times New Roman"/>
                <w:sz w:val="20"/>
                <w:szCs w:val="20"/>
                <w:lang w:val="bs-Latn-BA"/>
              </w:rPr>
              <w:t>)</w:t>
            </w:r>
          </w:p>
        </w:tc>
        <w:tc>
          <w:tcPr>
            <w:tcW w:w="2126"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35,08</w:t>
            </w:r>
          </w:p>
        </w:tc>
        <w:tc>
          <w:tcPr>
            <w:tcW w:w="2019"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22,80</w:t>
            </w:r>
          </w:p>
        </w:tc>
        <w:tc>
          <w:tcPr>
            <w:tcW w:w="251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rPr>
          <w:trHeight w:val="223"/>
          <w:jc w:val="center"/>
        </w:trPr>
        <w:tc>
          <w:tcPr>
            <w:cnfStyle w:val="001000000000"/>
            <w:tcW w:w="2542" w:type="dxa"/>
          </w:tcPr>
          <w:p w:rsidR="006C69B9" w:rsidRPr="006C69B9" w:rsidRDefault="006C69B9" w:rsidP="006C69B9">
            <w:pPr>
              <w:spacing w:line="276" w:lineRule="auto"/>
              <w:rPr>
                <w:rFonts w:ascii="Calibri" w:eastAsia="Calibri" w:hAnsi="Calibri" w:cs="Times New Roman"/>
                <w:sz w:val="20"/>
                <w:szCs w:val="20"/>
                <w:lang w:val="bs-Latn-BA"/>
              </w:rPr>
            </w:pPr>
            <w:r w:rsidRPr="006C69B9">
              <w:rPr>
                <w:rFonts w:ascii="Calibri" w:eastAsia="Calibri" w:hAnsi="Calibri" w:cs="Times New Roman"/>
                <w:sz w:val="20"/>
                <w:szCs w:val="20"/>
                <w:lang w:val="bs-Latn-BA"/>
              </w:rPr>
              <w:t>PM</w:t>
            </w:r>
            <w:r w:rsidRPr="006C69B9">
              <w:rPr>
                <w:rFonts w:ascii="Calibri" w:eastAsia="Calibri" w:hAnsi="Calibri" w:cs="Times New Roman"/>
                <w:sz w:val="20"/>
                <w:szCs w:val="20"/>
                <w:vertAlign w:val="subscript"/>
                <w:lang w:val="bs-Latn-BA"/>
              </w:rPr>
              <w:t>10</w:t>
            </w:r>
            <w:r w:rsidRPr="006C69B9">
              <w:rPr>
                <w:rFonts w:ascii="Calibri" w:eastAsia="Calibri" w:hAnsi="Calibri" w:cs="Times New Roman"/>
                <w:sz w:val="20"/>
                <w:szCs w:val="20"/>
                <w:lang w:val="bs-Latn-BA"/>
              </w:rPr>
              <w:t xml:space="preserve"> (</w:t>
            </w:r>
            <w:r w:rsidRPr="006C69B9">
              <w:rPr>
                <w:rFonts w:ascii="Calibri" w:eastAsia="Calibri" w:hAnsi="Calibri" w:cs="Calibri"/>
                <w:sz w:val="20"/>
                <w:szCs w:val="20"/>
                <w:lang w:val="bs-Latn-BA"/>
              </w:rPr>
              <w:t>µ</w:t>
            </w:r>
            <w:r w:rsidRPr="006C69B9">
              <w:rPr>
                <w:rFonts w:ascii="Calibri" w:eastAsia="Calibri" w:hAnsi="Calibri" w:cs="Times New Roman"/>
                <w:sz w:val="20"/>
                <w:szCs w:val="20"/>
                <w:lang w:val="bs-Latn-BA"/>
              </w:rPr>
              <w:t>g/m</w:t>
            </w:r>
            <w:r w:rsidRPr="006C69B9">
              <w:rPr>
                <w:rFonts w:ascii="Calibri" w:eastAsia="Calibri" w:hAnsi="Calibri" w:cs="Times New Roman"/>
                <w:sz w:val="20"/>
                <w:szCs w:val="20"/>
                <w:vertAlign w:val="superscript"/>
                <w:lang w:val="bs-Latn-BA"/>
              </w:rPr>
              <w:t>3</w:t>
            </w:r>
            <w:r w:rsidRPr="006C69B9">
              <w:rPr>
                <w:rFonts w:ascii="Calibri" w:eastAsia="Calibri" w:hAnsi="Calibri" w:cs="Times New Roman"/>
                <w:sz w:val="20"/>
                <w:szCs w:val="20"/>
                <w:lang w:val="bs-Latn-BA"/>
              </w:rPr>
              <w:t>)</w:t>
            </w:r>
          </w:p>
        </w:tc>
        <w:tc>
          <w:tcPr>
            <w:tcW w:w="2126"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37,42</w:t>
            </w:r>
          </w:p>
        </w:tc>
        <w:tc>
          <w:tcPr>
            <w:tcW w:w="2019"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18,21</w:t>
            </w:r>
          </w:p>
        </w:tc>
        <w:tc>
          <w:tcPr>
            <w:tcW w:w="2517" w:type="dxa"/>
          </w:tcPr>
          <w:p w:rsidR="006C69B9" w:rsidRPr="006C69B9" w:rsidRDefault="006C69B9" w:rsidP="006C69B9">
            <w:pPr>
              <w:spacing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rPr>
          <w:cnfStyle w:val="010000000000"/>
          <w:trHeight w:val="223"/>
          <w:jc w:val="center"/>
        </w:trPr>
        <w:tc>
          <w:tcPr>
            <w:cnfStyle w:val="001000000000"/>
            <w:tcW w:w="2542" w:type="dxa"/>
          </w:tcPr>
          <w:p w:rsidR="006C69B9" w:rsidRPr="006C69B9" w:rsidRDefault="006C69B9" w:rsidP="006C69B9">
            <w:pPr>
              <w:spacing w:line="276" w:lineRule="auto"/>
              <w:rPr>
                <w:rFonts w:ascii="Calibri" w:eastAsia="Calibri" w:hAnsi="Calibri" w:cs="Times New Roman"/>
                <w:sz w:val="20"/>
                <w:szCs w:val="20"/>
                <w:lang w:val="bs-Latn-BA"/>
              </w:rPr>
            </w:pPr>
          </w:p>
        </w:tc>
        <w:tc>
          <w:tcPr>
            <w:tcW w:w="2126"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c>
          <w:tcPr>
            <w:tcW w:w="2019"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c>
          <w:tcPr>
            <w:tcW w:w="2517" w:type="dxa"/>
          </w:tcPr>
          <w:p w:rsidR="006C69B9" w:rsidRPr="006C69B9" w:rsidRDefault="006C69B9" w:rsidP="006C69B9">
            <w:pPr>
              <w:spacing w:line="276" w:lineRule="auto"/>
              <w:jc w:val="center"/>
              <w:cnfStyle w:val="010000000000"/>
              <w:rPr>
                <w:rFonts w:ascii="Calibri" w:eastAsia="Calibri" w:hAnsi="Calibri" w:cs="Times New Roman"/>
                <w:sz w:val="20"/>
                <w:szCs w:val="20"/>
                <w:lang w:val="bs-Latn-BA"/>
              </w:rPr>
            </w:pP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 xml:space="preserve">* Pravilnik o načinu vršenja monitoringa kvaliteta zraka i definiranju vrsta zagađujućih tvari, graničnih vrijednosti i drugih standarda kvaliteta zraka, Službene novine F BiH, br. 1/12 i 59/19 (LV – granična vrijednost; TL – granica dopuštenog odstupanja; TV – ciljna vrijednost)) </w:t>
      </w:r>
    </w:p>
    <w:p w:rsidR="006C69B9" w:rsidRPr="006C69B9" w:rsidRDefault="006C69B9" w:rsidP="006C69B9">
      <w:pPr>
        <w:spacing w:after="100" w:line="360" w:lineRule="auto"/>
        <w:rPr>
          <w:rFonts w:ascii="Times New Roman" w:eastAsia="Calibri" w:hAnsi="Times New Roman" w:cs="Times New Roman"/>
          <w:i/>
          <w:sz w:val="20"/>
          <w:szCs w:val="20"/>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Prema dostupnim podacima, periodična onečišćenja koja ne prelaze granične vrijednosti odnose se uglavnom na nešto više koncentracije lebdećih čestica i dušikovih oksida te troposferskog ozona (tijekom sunčanog vremena), koja najčešće se javljaju iz stacionarnih izvora (ložišta u kućanstvima tijekom zimskih mjeseci) i mobilnih izvora (prometa), kao i tijekom periodičnih požara.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Uvidom u evidencije Registra o postrojenjima i zagađivačima Federalnog ministarstva okoliša i turizma (www.fmoit.gov.ba) za razdoblje od 2015. do 2017. godine, utvrđeno je da se zagađenja zraka na području Županije u najvećem obimu očekivano se odnose na emisije oksida ugljika (CO</w:t>
      </w:r>
      <w:r w:rsidRPr="006C69B9">
        <w:rPr>
          <w:rFonts w:ascii="Calibri" w:eastAsia="Calibri" w:hAnsi="Calibri" w:cs="Times New Roman"/>
          <w:vertAlign w:val="subscript"/>
          <w:lang w:val="bs-Latn-BA"/>
        </w:rPr>
        <w:t>2</w:t>
      </w:r>
      <w:r w:rsidRPr="006C69B9">
        <w:rPr>
          <w:rFonts w:ascii="Calibri" w:eastAsia="Calibri" w:hAnsi="Calibri" w:cs="Times New Roman"/>
          <w:lang w:val="bs-Latn-BA"/>
        </w:rPr>
        <w:t xml:space="preserve"> i CO) i dušika (NO</w:t>
      </w:r>
      <w:r w:rsidRPr="006C69B9">
        <w:rPr>
          <w:rFonts w:ascii="Calibri" w:eastAsia="Calibri" w:hAnsi="Calibri" w:cs="Times New Roman"/>
          <w:vertAlign w:val="subscript"/>
          <w:lang w:val="bs-Latn-BA"/>
        </w:rPr>
        <w:t>x</w:t>
      </w:r>
      <w:r w:rsidRPr="006C69B9">
        <w:rPr>
          <w:rFonts w:ascii="Calibri" w:eastAsia="Calibri" w:hAnsi="Calibri" w:cs="Times New Roman"/>
          <w:lang w:val="bs-Latn-BA"/>
        </w:rPr>
        <w:t>/NO</w:t>
      </w:r>
      <w:r w:rsidRPr="006C69B9">
        <w:rPr>
          <w:rFonts w:ascii="Calibri" w:eastAsia="Calibri" w:hAnsi="Calibri" w:cs="Times New Roman"/>
          <w:vertAlign w:val="subscript"/>
          <w:lang w:val="bs-Latn-BA"/>
        </w:rPr>
        <w:t>2</w:t>
      </w:r>
      <w:r w:rsidRPr="006C69B9">
        <w:rPr>
          <w:rFonts w:ascii="Calibri" w:eastAsia="Calibri" w:hAnsi="Calibri" w:cs="Times New Roman"/>
          <w:lang w:val="bs-Latn-BA"/>
        </w:rPr>
        <w:t>) te lebdećih čestica (PM</w:t>
      </w:r>
      <w:r w:rsidRPr="006C69B9">
        <w:rPr>
          <w:rFonts w:ascii="Calibri" w:eastAsia="Calibri" w:hAnsi="Calibri" w:cs="Times New Roman"/>
          <w:vertAlign w:val="subscript"/>
          <w:lang w:val="bs-Latn-BA"/>
        </w:rPr>
        <w:t>10</w:t>
      </w:r>
      <w:r w:rsidRPr="006C69B9">
        <w:rPr>
          <w:rFonts w:ascii="Calibri" w:eastAsia="Calibri" w:hAnsi="Calibri" w:cs="Times New Roman"/>
          <w:lang w:val="bs-Latn-BA"/>
        </w:rPr>
        <w:t>). Najčešći izvori zagađenja zraka prema navedenom Registru pripadaju sektorima ekstraktivne i mineralne industrije te metalne i prehrambene industrije, energetike, građevinarstva i upravljanja otpadom.</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69. Emisije u zrak na području HNŽ-a u razdoblju od 2015. do 2017. godine</w:t>
      </w:r>
    </w:p>
    <w:tbl>
      <w:tblPr>
        <w:tblStyle w:val="MediumGrid3-Accent51"/>
        <w:tblW w:w="0" w:type="auto"/>
        <w:tblLook w:val="04A0"/>
      </w:tblPr>
      <w:tblGrid>
        <w:gridCol w:w="3408"/>
        <w:gridCol w:w="1670"/>
        <w:gridCol w:w="1992"/>
        <w:gridCol w:w="1960"/>
      </w:tblGrid>
      <w:tr w:rsidR="006C69B9" w:rsidRPr="006C69B9" w:rsidTr="006C69B9">
        <w:trPr>
          <w:cnfStyle w:val="100000000000"/>
        </w:trPr>
        <w:tc>
          <w:tcPr>
            <w:cnfStyle w:val="001000000000"/>
            <w:tcW w:w="3408" w:type="dxa"/>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Zagađujuća tvar</w:t>
            </w:r>
          </w:p>
        </w:tc>
        <w:tc>
          <w:tcPr>
            <w:tcW w:w="5622" w:type="dxa"/>
            <w:gridSpan w:val="3"/>
            <w:shd w:val="clear" w:color="auto" w:fill="D2EAF1"/>
          </w:tcPr>
          <w:p w:rsidR="006C69B9" w:rsidRPr="006C69B9" w:rsidRDefault="006C69B9" w:rsidP="006C69B9">
            <w:pPr>
              <w:jc w:val="center"/>
              <w:cnfStyle w:val="100000000000"/>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Ukupno (kg/god)</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b/>
                <w:caps/>
                <w:sz w:val="20"/>
                <w:szCs w:val="20"/>
                <w:lang w:val="bs-Latn-BA"/>
              </w:rPr>
            </w:pPr>
            <w:r w:rsidRPr="006C69B9">
              <w:rPr>
                <w:rFonts w:ascii="Calibri" w:eastAsia="Calibri" w:hAnsi="Calibri" w:cs="Times New Roman"/>
                <w:b/>
                <w:caps/>
                <w:sz w:val="20"/>
                <w:szCs w:val="20"/>
                <w:lang w:val="bs-Latn-BA"/>
              </w:rPr>
              <w:t>2015.</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b/>
                <w:caps/>
                <w:sz w:val="20"/>
                <w:szCs w:val="20"/>
                <w:lang w:val="bs-Latn-BA"/>
              </w:rPr>
            </w:pPr>
            <w:r w:rsidRPr="006C69B9">
              <w:rPr>
                <w:rFonts w:ascii="Calibri" w:eastAsia="Calibri" w:hAnsi="Calibri" w:cs="Times New Roman"/>
                <w:b/>
                <w:caps/>
                <w:sz w:val="20"/>
                <w:szCs w:val="20"/>
                <w:lang w:val="bs-Latn-BA"/>
              </w:rPr>
              <w:t>2016.</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caps/>
                <w:sz w:val="20"/>
                <w:szCs w:val="20"/>
                <w:lang w:val="bs-Latn-BA"/>
              </w:rPr>
              <w:t>2017.</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Cink i spojevi (kao Zn)</w:t>
            </w:r>
          </w:p>
        </w:tc>
        <w:tc>
          <w:tcPr>
            <w:tcW w:w="167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5,5 x 10</w:t>
            </w:r>
            <w:r w:rsidRPr="006C69B9">
              <w:rPr>
                <w:rFonts w:ascii="Calibri" w:eastAsia="Calibri" w:hAnsi="Calibri" w:cs="Times New Roman"/>
                <w:sz w:val="20"/>
                <w:szCs w:val="20"/>
                <w:vertAlign w:val="superscript"/>
                <w:lang w:val="bs-Latn-BA"/>
              </w:rPr>
              <w:t>4</w:t>
            </w:r>
          </w:p>
        </w:tc>
        <w:tc>
          <w:tcPr>
            <w:tcW w:w="199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105,59</w:t>
            </w:r>
          </w:p>
        </w:tc>
        <w:tc>
          <w:tcPr>
            <w:tcW w:w="196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 x 10</w:t>
            </w:r>
            <w:r w:rsidRPr="006C69B9">
              <w:rPr>
                <w:rFonts w:ascii="Calibri" w:eastAsia="Calibri" w:hAnsi="Calibri" w:cs="Times New Roman"/>
                <w:sz w:val="20"/>
                <w:szCs w:val="20"/>
                <w:vertAlign w:val="superscript"/>
                <w:lang w:val="bs-Latn-BA"/>
              </w:rPr>
              <w:t>-5</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Nikal i spojevi (kao Ni)</w:t>
            </w: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11,4</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24,1</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Bakar i spojevi (kao Cu)</w:t>
            </w:r>
          </w:p>
        </w:tc>
        <w:tc>
          <w:tcPr>
            <w:tcW w:w="167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11,4</w:t>
            </w:r>
          </w:p>
        </w:tc>
        <w:tc>
          <w:tcPr>
            <w:tcW w:w="199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22,6</w:t>
            </w:r>
          </w:p>
        </w:tc>
        <w:tc>
          <w:tcPr>
            <w:tcW w:w="196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Krom i spojevi (kao Cr)</w:t>
            </w: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11,4</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22,9</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Klor i anorganski spojevi (kao HCl)</w:t>
            </w:r>
          </w:p>
        </w:tc>
        <w:tc>
          <w:tcPr>
            <w:tcW w:w="167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1.120,8</w:t>
            </w:r>
          </w:p>
        </w:tc>
        <w:tc>
          <w:tcPr>
            <w:tcW w:w="199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1.359,5</w:t>
            </w:r>
          </w:p>
        </w:tc>
        <w:tc>
          <w:tcPr>
            <w:tcW w:w="196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Kadmij i spojevi (kao Cd)</w:t>
            </w: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 x 10</w:t>
            </w:r>
            <w:r w:rsidRPr="006C69B9">
              <w:rPr>
                <w:rFonts w:ascii="Calibri" w:eastAsia="Calibri" w:hAnsi="Calibri" w:cs="Times New Roman"/>
                <w:sz w:val="20"/>
                <w:szCs w:val="20"/>
                <w:vertAlign w:val="superscript"/>
                <w:lang w:val="bs-Latn-BA"/>
              </w:rPr>
              <w:t>-8</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Olovo i spojevi (kao Pb)</w:t>
            </w:r>
          </w:p>
        </w:tc>
        <w:tc>
          <w:tcPr>
            <w:tcW w:w="167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199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196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6 x 10</w:t>
            </w:r>
            <w:r w:rsidRPr="006C69B9">
              <w:rPr>
                <w:rFonts w:ascii="Calibri" w:eastAsia="Calibri" w:hAnsi="Calibri" w:cs="Times New Roman"/>
                <w:sz w:val="20"/>
                <w:szCs w:val="20"/>
                <w:vertAlign w:val="superscript"/>
                <w:lang w:val="bs-Latn-BA"/>
              </w:rPr>
              <w:t>-6</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Oksidi sumpora (SO</w:t>
            </w:r>
            <w:r w:rsidRPr="006C69B9">
              <w:rPr>
                <w:rFonts w:ascii="Calibri" w:eastAsia="Calibri" w:hAnsi="Calibri" w:cs="Times New Roman"/>
                <w:caps/>
                <w:sz w:val="20"/>
                <w:szCs w:val="20"/>
                <w:vertAlign w:val="subscript"/>
                <w:lang w:val="bs-Latn-BA"/>
              </w:rPr>
              <w:t>x</w:t>
            </w:r>
            <w:r w:rsidRPr="006C69B9">
              <w:rPr>
                <w:rFonts w:ascii="Calibri" w:eastAsia="Calibri" w:hAnsi="Calibri" w:cs="Times New Roman"/>
                <w:caps/>
                <w:sz w:val="20"/>
                <w:szCs w:val="20"/>
                <w:lang w:val="bs-Latn-BA"/>
              </w:rPr>
              <w:t>/SO</w:t>
            </w:r>
            <w:r w:rsidRPr="006C69B9">
              <w:rPr>
                <w:rFonts w:ascii="Calibri" w:eastAsia="Calibri" w:hAnsi="Calibri" w:cs="Times New Roman"/>
                <w:caps/>
                <w:sz w:val="20"/>
                <w:szCs w:val="20"/>
                <w:vertAlign w:val="subscript"/>
                <w:lang w:val="bs-Latn-BA"/>
              </w:rPr>
              <w:t>2</w:t>
            </w:r>
            <w:r w:rsidRPr="006C69B9">
              <w:rPr>
                <w:rFonts w:ascii="Calibri" w:eastAsia="Calibri" w:hAnsi="Calibri" w:cs="Times New Roman"/>
                <w:caps/>
                <w:sz w:val="20"/>
                <w:szCs w:val="20"/>
                <w:lang w:val="bs-Latn-BA"/>
              </w:rPr>
              <w:t>)</w:t>
            </w: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 x 10</w:t>
            </w:r>
            <w:r w:rsidRPr="006C69B9">
              <w:rPr>
                <w:rFonts w:ascii="Calibri" w:eastAsia="Calibri" w:hAnsi="Calibri" w:cs="Times New Roman"/>
                <w:sz w:val="20"/>
                <w:szCs w:val="20"/>
                <w:vertAlign w:val="superscript"/>
                <w:lang w:val="bs-Latn-BA"/>
              </w:rPr>
              <w:t>4</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 x 10</w:t>
            </w:r>
            <w:r w:rsidRPr="006C69B9">
              <w:rPr>
                <w:rFonts w:ascii="Calibri" w:eastAsia="Calibri" w:hAnsi="Calibri" w:cs="Times New Roman"/>
                <w:sz w:val="20"/>
                <w:szCs w:val="20"/>
                <w:vertAlign w:val="superscript"/>
                <w:lang w:val="bs-Latn-BA"/>
              </w:rPr>
              <w:t>5</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824,08</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Ugljikov dioksid (CO</w:t>
            </w:r>
            <w:r w:rsidRPr="006C69B9">
              <w:rPr>
                <w:rFonts w:ascii="Calibri" w:eastAsia="Calibri" w:hAnsi="Calibri" w:cs="Times New Roman"/>
                <w:caps/>
                <w:sz w:val="20"/>
                <w:szCs w:val="20"/>
                <w:vertAlign w:val="subscript"/>
                <w:lang w:val="bs-Latn-BA"/>
              </w:rPr>
              <w:t>2</w:t>
            </w:r>
            <w:r w:rsidRPr="006C69B9">
              <w:rPr>
                <w:rFonts w:ascii="Calibri" w:eastAsia="Calibri" w:hAnsi="Calibri" w:cs="Times New Roman"/>
                <w:caps/>
                <w:sz w:val="20"/>
                <w:szCs w:val="20"/>
                <w:lang w:val="bs-Latn-BA"/>
              </w:rPr>
              <w:t>)</w:t>
            </w:r>
          </w:p>
        </w:tc>
        <w:tc>
          <w:tcPr>
            <w:tcW w:w="167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2,9 x 10</w:t>
            </w:r>
            <w:r w:rsidRPr="006C69B9">
              <w:rPr>
                <w:rFonts w:ascii="Calibri" w:eastAsia="Calibri" w:hAnsi="Calibri" w:cs="Times New Roman"/>
                <w:sz w:val="20"/>
                <w:szCs w:val="20"/>
                <w:vertAlign w:val="superscript"/>
                <w:lang w:val="bs-Latn-BA"/>
              </w:rPr>
              <w:t>7</w:t>
            </w:r>
          </w:p>
        </w:tc>
        <w:tc>
          <w:tcPr>
            <w:tcW w:w="199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 x 10</w:t>
            </w:r>
            <w:r w:rsidRPr="006C69B9">
              <w:rPr>
                <w:rFonts w:ascii="Calibri" w:eastAsia="Calibri" w:hAnsi="Calibri" w:cs="Times New Roman"/>
                <w:sz w:val="20"/>
                <w:szCs w:val="20"/>
                <w:vertAlign w:val="superscript"/>
                <w:lang w:val="bs-Latn-BA"/>
              </w:rPr>
              <w:t>8</w:t>
            </w:r>
          </w:p>
        </w:tc>
        <w:tc>
          <w:tcPr>
            <w:tcW w:w="196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8,5 x 10</w:t>
            </w:r>
            <w:r w:rsidRPr="006C69B9">
              <w:rPr>
                <w:rFonts w:ascii="Calibri" w:eastAsia="Calibri" w:hAnsi="Calibri" w:cs="Times New Roman"/>
                <w:sz w:val="20"/>
                <w:szCs w:val="20"/>
                <w:vertAlign w:val="superscript"/>
                <w:lang w:val="bs-Latn-BA"/>
              </w:rPr>
              <w:t>7</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lastRenderedPageBreak/>
              <w:t>Ugljikov monoksid (CO)</w:t>
            </w: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4,2 x 10</w:t>
            </w:r>
            <w:r w:rsidRPr="006C69B9">
              <w:rPr>
                <w:rFonts w:ascii="Calibri" w:eastAsia="Calibri" w:hAnsi="Calibri" w:cs="Times New Roman"/>
                <w:sz w:val="20"/>
                <w:szCs w:val="20"/>
                <w:vertAlign w:val="superscript"/>
                <w:lang w:val="bs-Latn-BA"/>
              </w:rPr>
              <w:t>4</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 x 10</w:t>
            </w:r>
            <w:r w:rsidRPr="006C69B9">
              <w:rPr>
                <w:rFonts w:ascii="Calibri" w:eastAsia="Calibri" w:hAnsi="Calibri" w:cs="Times New Roman"/>
                <w:sz w:val="20"/>
                <w:szCs w:val="20"/>
                <w:vertAlign w:val="superscript"/>
                <w:lang w:val="bs-Latn-BA"/>
              </w:rPr>
              <w:t>6</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4,4 x 10</w:t>
            </w:r>
            <w:r w:rsidRPr="006C69B9">
              <w:rPr>
                <w:rFonts w:ascii="Calibri" w:eastAsia="Calibri" w:hAnsi="Calibri" w:cs="Times New Roman"/>
                <w:sz w:val="20"/>
                <w:szCs w:val="20"/>
                <w:vertAlign w:val="superscript"/>
                <w:lang w:val="bs-Latn-BA"/>
              </w:rPr>
              <w:t>5</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Oksidi dušika (NO</w:t>
            </w:r>
            <w:r w:rsidRPr="006C69B9">
              <w:rPr>
                <w:rFonts w:ascii="Calibri" w:eastAsia="Calibri" w:hAnsi="Calibri" w:cs="Times New Roman"/>
                <w:caps/>
                <w:sz w:val="20"/>
                <w:szCs w:val="20"/>
                <w:vertAlign w:val="subscript"/>
                <w:lang w:val="bs-Latn-BA"/>
              </w:rPr>
              <w:t>x</w:t>
            </w:r>
            <w:r w:rsidRPr="006C69B9">
              <w:rPr>
                <w:rFonts w:ascii="Calibri" w:eastAsia="Calibri" w:hAnsi="Calibri" w:cs="Times New Roman"/>
                <w:caps/>
                <w:sz w:val="20"/>
                <w:szCs w:val="20"/>
                <w:lang w:val="bs-Latn-BA"/>
              </w:rPr>
              <w:t>/NO</w:t>
            </w:r>
            <w:r w:rsidRPr="006C69B9">
              <w:rPr>
                <w:rFonts w:ascii="Calibri" w:eastAsia="Calibri" w:hAnsi="Calibri" w:cs="Times New Roman"/>
                <w:caps/>
                <w:sz w:val="20"/>
                <w:szCs w:val="20"/>
                <w:vertAlign w:val="subscript"/>
                <w:lang w:val="bs-Latn-BA"/>
              </w:rPr>
              <w:t>2</w:t>
            </w:r>
            <w:r w:rsidRPr="006C69B9">
              <w:rPr>
                <w:rFonts w:ascii="Calibri" w:eastAsia="Calibri" w:hAnsi="Calibri" w:cs="Times New Roman"/>
                <w:caps/>
                <w:sz w:val="20"/>
                <w:szCs w:val="20"/>
                <w:lang w:val="bs-Latn-BA"/>
              </w:rPr>
              <w:t>)</w:t>
            </w:r>
          </w:p>
        </w:tc>
        <w:tc>
          <w:tcPr>
            <w:tcW w:w="167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3,7 x 10</w:t>
            </w:r>
            <w:r w:rsidRPr="006C69B9">
              <w:rPr>
                <w:rFonts w:ascii="Calibri" w:eastAsia="Calibri" w:hAnsi="Calibri" w:cs="Times New Roman"/>
                <w:sz w:val="20"/>
                <w:szCs w:val="20"/>
                <w:vertAlign w:val="superscript"/>
                <w:lang w:val="bs-Latn-BA"/>
              </w:rPr>
              <w:t>5</w:t>
            </w:r>
          </w:p>
        </w:tc>
        <w:tc>
          <w:tcPr>
            <w:tcW w:w="199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3,1 x 10</w:t>
            </w:r>
            <w:r w:rsidRPr="006C69B9">
              <w:rPr>
                <w:rFonts w:ascii="Calibri" w:eastAsia="Calibri" w:hAnsi="Calibri" w:cs="Times New Roman"/>
                <w:sz w:val="20"/>
                <w:szCs w:val="20"/>
                <w:vertAlign w:val="superscript"/>
                <w:lang w:val="bs-Latn-BA"/>
              </w:rPr>
              <w:t>6</w:t>
            </w:r>
          </w:p>
        </w:tc>
        <w:tc>
          <w:tcPr>
            <w:tcW w:w="196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 x 10</w:t>
            </w:r>
            <w:r w:rsidRPr="006C69B9">
              <w:rPr>
                <w:rFonts w:ascii="Calibri" w:eastAsia="Calibri" w:hAnsi="Calibri" w:cs="Times New Roman"/>
                <w:sz w:val="20"/>
                <w:szCs w:val="20"/>
                <w:vertAlign w:val="superscript"/>
                <w:lang w:val="bs-Latn-BA"/>
              </w:rPr>
              <w:t>6</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Čestice (PM</w:t>
            </w:r>
            <w:r w:rsidRPr="006C69B9">
              <w:rPr>
                <w:rFonts w:ascii="Calibri" w:eastAsia="Calibri" w:hAnsi="Calibri" w:cs="Times New Roman"/>
                <w:caps/>
                <w:sz w:val="20"/>
                <w:szCs w:val="20"/>
                <w:vertAlign w:val="subscript"/>
                <w:lang w:val="bs-Latn-BA"/>
              </w:rPr>
              <w:t>10</w:t>
            </w:r>
            <w:r w:rsidRPr="006C69B9">
              <w:rPr>
                <w:rFonts w:ascii="Calibri" w:eastAsia="Calibri" w:hAnsi="Calibri" w:cs="Times New Roman"/>
                <w:caps/>
                <w:sz w:val="20"/>
                <w:szCs w:val="20"/>
                <w:lang w:val="bs-Latn-BA"/>
              </w:rPr>
              <w:t>)</w:t>
            </w: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5.373,4</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 x 10</w:t>
            </w:r>
            <w:r w:rsidRPr="006C69B9">
              <w:rPr>
                <w:rFonts w:ascii="Calibri" w:eastAsia="Calibri" w:hAnsi="Calibri" w:cs="Times New Roman"/>
                <w:sz w:val="20"/>
                <w:szCs w:val="20"/>
                <w:vertAlign w:val="superscript"/>
                <w:lang w:val="bs-Latn-BA"/>
              </w:rPr>
              <w:t>5</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7,5 x 10</w:t>
            </w:r>
            <w:r w:rsidRPr="006C69B9">
              <w:rPr>
                <w:rFonts w:ascii="Calibri" w:eastAsia="Calibri" w:hAnsi="Calibri" w:cs="Times New Roman"/>
                <w:sz w:val="20"/>
                <w:szCs w:val="20"/>
                <w:vertAlign w:val="superscript"/>
                <w:lang w:val="bs-Latn-BA"/>
              </w:rPr>
              <w:t>4</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Policiklički aromatski ugljikovodici (PAH)</w:t>
            </w:r>
          </w:p>
        </w:tc>
        <w:tc>
          <w:tcPr>
            <w:tcW w:w="167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3,1 x 10</w:t>
            </w:r>
            <w:r w:rsidRPr="006C69B9">
              <w:rPr>
                <w:rFonts w:ascii="Calibri" w:eastAsia="Calibri" w:hAnsi="Calibri" w:cs="Times New Roman"/>
                <w:sz w:val="20"/>
                <w:szCs w:val="20"/>
                <w:vertAlign w:val="superscript"/>
                <w:lang w:val="bs-Latn-BA"/>
              </w:rPr>
              <w:t>4</w:t>
            </w:r>
          </w:p>
        </w:tc>
        <w:tc>
          <w:tcPr>
            <w:tcW w:w="199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2,5 x 10</w:t>
            </w:r>
            <w:r w:rsidRPr="006C69B9">
              <w:rPr>
                <w:rFonts w:ascii="Calibri" w:eastAsia="Calibri" w:hAnsi="Calibri" w:cs="Times New Roman"/>
                <w:sz w:val="20"/>
                <w:szCs w:val="20"/>
                <w:vertAlign w:val="superscript"/>
                <w:lang w:val="bs-Latn-BA"/>
              </w:rPr>
              <w:t>5</w:t>
            </w:r>
          </w:p>
        </w:tc>
        <w:tc>
          <w:tcPr>
            <w:tcW w:w="196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0,607</w:t>
            </w:r>
          </w:p>
        </w:tc>
      </w:tr>
      <w:tr w:rsidR="00F85905" w:rsidRPr="006C69B9" w:rsidTr="006C69B9">
        <w:trPr>
          <w:cnfStyle w:val="000000100000"/>
        </w:trPr>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Nemetanski hlapljivi organski spojevi (NMVOC)</w:t>
            </w:r>
          </w:p>
        </w:tc>
        <w:tc>
          <w:tcPr>
            <w:tcW w:w="167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 x 10</w:t>
            </w:r>
            <w:r w:rsidRPr="006C69B9">
              <w:rPr>
                <w:rFonts w:ascii="Calibri" w:eastAsia="Calibri" w:hAnsi="Calibri" w:cs="Times New Roman"/>
                <w:sz w:val="20"/>
                <w:szCs w:val="20"/>
                <w:vertAlign w:val="superscript"/>
                <w:lang w:val="bs-Latn-BA"/>
              </w:rPr>
              <w:t>4</w:t>
            </w:r>
          </w:p>
        </w:tc>
        <w:tc>
          <w:tcPr>
            <w:tcW w:w="199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4,4 x 10</w:t>
            </w:r>
            <w:r w:rsidRPr="006C69B9">
              <w:rPr>
                <w:rFonts w:ascii="Calibri" w:eastAsia="Calibri" w:hAnsi="Calibri" w:cs="Times New Roman"/>
                <w:sz w:val="20"/>
                <w:szCs w:val="20"/>
                <w:vertAlign w:val="superscript"/>
                <w:lang w:val="bs-Latn-BA"/>
              </w:rPr>
              <w:t>5</w:t>
            </w:r>
          </w:p>
        </w:tc>
        <w:tc>
          <w:tcPr>
            <w:tcW w:w="196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 x 10</w:t>
            </w:r>
            <w:r w:rsidRPr="006C69B9">
              <w:rPr>
                <w:rFonts w:ascii="Calibri" w:eastAsia="Calibri" w:hAnsi="Calibri" w:cs="Times New Roman"/>
                <w:sz w:val="20"/>
                <w:szCs w:val="20"/>
                <w:vertAlign w:val="superscript"/>
                <w:lang w:val="bs-Latn-BA"/>
              </w:rPr>
              <w:t>5</w:t>
            </w:r>
          </w:p>
        </w:tc>
      </w:tr>
      <w:tr w:rsidR="00F85905" w:rsidRPr="006C69B9" w:rsidTr="006C69B9">
        <w:tc>
          <w:tcPr>
            <w:cnfStyle w:val="001000000000"/>
            <w:tcW w:w="3408"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Ukupno:</w:t>
            </w:r>
          </w:p>
        </w:tc>
        <w:tc>
          <w:tcPr>
            <w:tcW w:w="1670" w:type="dxa"/>
            <w:shd w:val="clear" w:color="auto" w:fill="92CDDC"/>
          </w:tcPr>
          <w:p w:rsidR="006C69B9" w:rsidRPr="006C69B9" w:rsidRDefault="006C69B9" w:rsidP="006C69B9">
            <w:pPr>
              <w:jc w:val="center"/>
              <w:cnfStyle w:val="0000000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29.434.082,85</w:t>
            </w:r>
          </w:p>
        </w:tc>
        <w:tc>
          <w:tcPr>
            <w:tcW w:w="1992" w:type="dxa"/>
            <w:shd w:val="clear" w:color="auto" w:fill="92CDDC"/>
          </w:tcPr>
          <w:p w:rsidR="006C69B9" w:rsidRPr="006C69B9" w:rsidRDefault="006C69B9" w:rsidP="006C69B9">
            <w:pPr>
              <w:jc w:val="center"/>
              <w:cnfStyle w:val="0000000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204.810.987,12</w:t>
            </w:r>
          </w:p>
        </w:tc>
        <w:tc>
          <w:tcPr>
            <w:tcW w:w="1960" w:type="dxa"/>
            <w:shd w:val="clear" w:color="auto" w:fill="92CDDC"/>
          </w:tcPr>
          <w:p w:rsidR="006C69B9" w:rsidRPr="006C69B9" w:rsidRDefault="006C69B9" w:rsidP="006C69B9">
            <w:pPr>
              <w:jc w:val="center"/>
              <w:cnfStyle w:val="0000000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87.439.126,87</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Registar o postrojenjima i zagađivanjima Federalnog ministarstva okoliša i turizma (www.fmoit.gov.ba).</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88" w:name="_Toc54530585"/>
      <w:bookmarkStart w:id="89" w:name="_Toc57573236"/>
      <w:r w:rsidRPr="006C69B9">
        <w:rPr>
          <w:rFonts w:ascii="Calibri" w:eastAsia="Calibri" w:hAnsi="Calibri" w:cs="Times New Roman"/>
          <w:b/>
          <w:bCs/>
          <w:iCs/>
          <w:color w:val="31849B"/>
          <w:sz w:val="24"/>
          <w:szCs w:val="28"/>
          <w:lang w:eastAsia="hr-HR"/>
        </w:rPr>
        <w:t>Zemljište</w:t>
      </w:r>
      <w:bookmarkEnd w:id="88"/>
      <w:bookmarkEnd w:id="89"/>
    </w:p>
    <w:p w:rsidR="006C69B9" w:rsidRPr="006C69B9" w:rsidRDefault="006C69B9" w:rsidP="006C69B9">
      <w:pPr>
        <w:spacing w:after="0" w:line="276" w:lineRule="auto"/>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Na prostoru HNŽ-a zastupljeni su vrlo raznolikih tipova tala, među kojima su najrasprostranjenija tla: crnica na vapnencu i dolomitu – kalkomelanosol (126.301 ha ili 28,9%), smeđe tlo na vapnencu i dolomitu – kalkambisol (107.123 ha ili 24,5%) i rendzine (46.116 ha ili 10,6%)</w:t>
      </w:r>
      <w:r w:rsidRPr="006C69B9">
        <w:rPr>
          <w:rFonts w:ascii="Calibri" w:eastAsia="Calibri" w:hAnsi="Calibri" w:cs="Times New Roman"/>
          <w:vertAlign w:val="superscript"/>
          <w:lang w:val="bs-Latn-BA"/>
        </w:rPr>
        <w:footnoteReference w:id="11"/>
      </w:r>
      <w:r w:rsidRPr="006C69B9">
        <w:rPr>
          <w:rFonts w:ascii="Calibri" w:eastAsia="Calibri" w:hAnsi="Calibri" w:cs="Times New Roman"/>
          <w:lang w:val="bs-Latn-BA"/>
        </w:rPr>
        <w:t>.</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Od ukupne površine HNŽ-a (440.100 ha) najveće površine obuhvaćene su poljoprivrednim (185.906 ha ili 42,24%) i šumskim zemljištem (187.505 ha ili 42,61%)</w:t>
      </w:r>
      <w:r w:rsidRPr="006C69B9">
        <w:rPr>
          <w:rFonts w:ascii="Calibri" w:eastAsia="Calibri" w:hAnsi="Calibri" w:cs="Times New Roman"/>
          <w:vertAlign w:val="superscript"/>
          <w:lang w:val="bs-Latn-BA"/>
        </w:rPr>
        <w:footnoteReference w:id="12"/>
      </w:r>
      <w:r w:rsidRPr="006C69B9">
        <w:rPr>
          <w:rFonts w:ascii="Calibri" w:eastAsia="Calibri" w:hAnsi="Calibri" w:cs="Times New Roman"/>
          <w:lang w:val="bs-Latn-BA"/>
        </w:rPr>
        <w:t>. Zemljišta su od II. do VIII. bonitetne kategorije, a najzastupljenija je VII. kategorija</w:t>
      </w:r>
      <w:r w:rsidRPr="006C69B9">
        <w:rPr>
          <w:rFonts w:ascii="Calibri" w:eastAsia="Calibri" w:hAnsi="Calibri" w:cs="Times New Roman"/>
          <w:vertAlign w:val="superscript"/>
          <w:lang w:val="bs-Latn-BA"/>
        </w:rPr>
        <w:footnoteReference w:id="13"/>
      </w:r>
      <w:r w:rsidRPr="006C69B9">
        <w:rPr>
          <w:rFonts w:ascii="Calibri" w:eastAsia="Calibri" w:hAnsi="Calibri" w:cs="Times New Roman"/>
          <w:lang w:val="bs-Latn-BA"/>
        </w:rPr>
        <w:t xml:space="preserve">. </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70. Poljoprivredna površina po kategorijama korištenja u HNŽ-u</w:t>
      </w:r>
    </w:p>
    <w:tbl>
      <w:tblPr>
        <w:tblStyle w:val="MediumGrid3-Accent51"/>
        <w:tblW w:w="0" w:type="auto"/>
        <w:tblLook w:val="04A0"/>
      </w:tblPr>
      <w:tblGrid>
        <w:gridCol w:w="2345"/>
        <w:gridCol w:w="1142"/>
        <w:gridCol w:w="1343"/>
        <w:gridCol w:w="1400"/>
        <w:gridCol w:w="1400"/>
        <w:gridCol w:w="1400"/>
      </w:tblGrid>
      <w:tr w:rsidR="00F85905" w:rsidRPr="006C69B9" w:rsidTr="006C69B9">
        <w:trPr>
          <w:cnfStyle w:val="100000000000"/>
        </w:trPr>
        <w:tc>
          <w:tcPr>
            <w:cnfStyle w:val="001000000000"/>
            <w:tcW w:w="2345"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POLJOPRIVREDNA POVRŠINA (</w:t>
            </w:r>
            <w:r w:rsidRPr="006C69B9">
              <w:rPr>
                <w:rFonts w:ascii="Calibri" w:eastAsia="Calibri" w:hAnsi="Calibri" w:cs="Times New Roman"/>
                <w:caps/>
                <w:sz w:val="20"/>
                <w:szCs w:val="20"/>
                <w:lang w:val="bs-Latn-BA"/>
              </w:rPr>
              <w:t>ha</w:t>
            </w:r>
            <w:r w:rsidRPr="006C69B9">
              <w:rPr>
                <w:rFonts w:ascii="Calibri" w:eastAsia="Calibri" w:hAnsi="Calibri" w:cs="Times New Roman"/>
                <w:sz w:val="20"/>
                <w:szCs w:val="20"/>
                <w:lang w:val="bs-Latn-BA"/>
              </w:rPr>
              <w:t>)</w:t>
            </w:r>
          </w:p>
        </w:tc>
        <w:tc>
          <w:tcPr>
            <w:tcW w:w="1142"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w:t>
            </w:r>
          </w:p>
        </w:tc>
        <w:tc>
          <w:tcPr>
            <w:tcW w:w="1343"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1400"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400"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c>
          <w:tcPr>
            <w:tcW w:w="1400"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w:t>
            </w:r>
          </w:p>
        </w:tc>
      </w:tr>
      <w:tr w:rsidR="00F85905" w:rsidRPr="006C69B9" w:rsidTr="006C69B9">
        <w:trPr>
          <w:cnfStyle w:val="000000100000"/>
        </w:trPr>
        <w:tc>
          <w:tcPr>
            <w:cnfStyle w:val="001000000000"/>
            <w:tcW w:w="2345"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Obradiva površina (oranice, vrtovi, voćnjaci, vinogradi, livade)</w:t>
            </w:r>
          </w:p>
        </w:tc>
        <w:tc>
          <w:tcPr>
            <w:tcW w:w="114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59.296</w:t>
            </w:r>
          </w:p>
        </w:tc>
        <w:tc>
          <w:tcPr>
            <w:tcW w:w="1343"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59.296</w:t>
            </w:r>
          </w:p>
        </w:tc>
        <w:tc>
          <w:tcPr>
            <w:tcW w:w="14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50.681</w:t>
            </w:r>
          </w:p>
        </w:tc>
        <w:tc>
          <w:tcPr>
            <w:tcW w:w="14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50.681</w:t>
            </w:r>
          </w:p>
        </w:tc>
        <w:tc>
          <w:tcPr>
            <w:tcW w:w="14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83.273</w:t>
            </w:r>
          </w:p>
        </w:tc>
      </w:tr>
      <w:tr w:rsidR="00F85905" w:rsidRPr="006C69B9" w:rsidTr="006C69B9">
        <w:tc>
          <w:tcPr>
            <w:cnfStyle w:val="001000000000"/>
            <w:tcW w:w="2345"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Pašnjaci</w:t>
            </w:r>
          </w:p>
        </w:tc>
        <w:tc>
          <w:tcPr>
            <w:tcW w:w="114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107.427</w:t>
            </w:r>
          </w:p>
        </w:tc>
        <w:tc>
          <w:tcPr>
            <w:tcW w:w="1343"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107.427</w:t>
            </w:r>
          </w:p>
        </w:tc>
        <w:tc>
          <w:tcPr>
            <w:tcW w:w="14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107.427</w:t>
            </w:r>
          </w:p>
        </w:tc>
        <w:tc>
          <w:tcPr>
            <w:tcW w:w="14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107.427</w:t>
            </w:r>
          </w:p>
        </w:tc>
        <w:tc>
          <w:tcPr>
            <w:tcW w:w="14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102.633</w:t>
            </w:r>
          </w:p>
        </w:tc>
      </w:tr>
      <w:tr w:rsidR="00F85905" w:rsidRPr="006C69B9" w:rsidTr="006C69B9">
        <w:trPr>
          <w:cnfStyle w:val="000000100000"/>
        </w:trPr>
        <w:tc>
          <w:tcPr>
            <w:cnfStyle w:val="001000000000"/>
            <w:tcW w:w="2345"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Ribnjaci</w:t>
            </w:r>
          </w:p>
        </w:tc>
        <w:tc>
          <w:tcPr>
            <w:tcW w:w="114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w:t>
            </w:r>
          </w:p>
        </w:tc>
        <w:tc>
          <w:tcPr>
            <w:tcW w:w="1343"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w:t>
            </w:r>
          </w:p>
        </w:tc>
        <w:tc>
          <w:tcPr>
            <w:tcW w:w="14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w:t>
            </w:r>
          </w:p>
        </w:tc>
        <w:tc>
          <w:tcPr>
            <w:tcW w:w="14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w:t>
            </w:r>
          </w:p>
        </w:tc>
        <w:tc>
          <w:tcPr>
            <w:tcW w:w="14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w:t>
            </w:r>
          </w:p>
        </w:tc>
      </w:tr>
      <w:tr w:rsidR="00F85905" w:rsidRPr="006C69B9" w:rsidTr="006C69B9">
        <w:tc>
          <w:tcPr>
            <w:cnfStyle w:val="001000000000"/>
            <w:tcW w:w="2345"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Trstici i bare</w:t>
            </w:r>
          </w:p>
        </w:tc>
        <w:tc>
          <w:tcPr>
            <w:tcW w:w="114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w:t>
            </w:r>
          </w:p>
        </w:tc>
        <w:tc>
          <w:tcPr>
            <w:tcW w:w="1343"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w:t>
            </w:r>
          </w:p>
        </w:tc>
        <w:tc>
          <w:tcPr>
            <w:tcW w:w="14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w:t>
            </w:r>
          </w:p>
        </w:tc>
        <w:tc>
          <w:tcPr>
            <w:tcW w:w="14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w:t>
            </w:r>
          </w:p>
        </w:tc>
        <w:tc>
          <w:tcPr>
            <w:tcW w:w="14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w:t>
            </w:r>
          </w:p>
        </w:tc>
      </w:tr>
      <w:tr w:rsidR="00F85905" w:rsidRPr="006C69B9" w:rsidTr="006C69B9">
        <w:trPr>
          <w:cnfStyle w:val="000000100000"/>
        </w:trPr>
        <w:tc>
          <w:tcPr>
            <w:cnfStyle w:val="001000000000"/>
            <w:tcW w:w="2345"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Ukupno</w:t>
            </w:r>
          </w:p>
        </w:tc>
        <w:tc>
          <w:tcPr>
            <w:tcW w:w="1142"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166.736</w:t>
            </w:r>
          </w:p>
        </w:tc>
        <w:tc>
          <w:tcPr>
            <w:tcW w:w="1343"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166.736</w:t>
            </w:r>
          </w:p>
        </w:tc>
        <w:tc>
          <w:tcPr>
            <w:tcW w:w="1400"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158.121</w:t>
            </w:r>
          </w:p>
        </w:tc>
        <w:tc>
          <w:tcPr>
            <w:tcW w:w="1400"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158.121</w:t>
            </w:r>
          </w:p>
        </w:tc>
        <w:tc>
          <w:tcPr>
            <w:tcW w:w="1400"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185.906</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Federalni zavod za programiranje razvoja, 2016-2020</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U proteklom petogodišnjem periodu na području HNŽ-a bilježi se i povećanje ukupne površine obradivog poljoprivrednog zemljišta koje se odnosi na oranice i vrtove za 7.623 ha. Najveća povećanja zabilježena su u Općini Prozor-Rama (3.315 ha), Gradu Mostaru (2.571 ha) i Općini Stolac (2.138 ha), dok je najveće smanjenje ukupne površine obradivog zemljišta u proteklom periodu u Općini Konjic (1.016 ha).</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w:t>
      </w:r>
      <w:r w:rsidR="009F107E" w:rsidRPr="006C69B9">
        <w:rPr>
          <w:rFonts w:ascii="Calibri" w:eastAsia="Calibri" w:hAnsi="Calibri" w:cs="Calibri Light"/>
          <w:bCs/>
          <w:i/>
          <w:color w:val="31849B"/>
          <w:sz w:val="20"/>
        </w:rPr>
        <w:fldChar w:fldCharType="begin"/>
      </w:r>
      <w:r w:rsidRPr="006C69B9">
        <w:rPr>
          <w:rFonts w:ascii="Calibri" w:eastAsia="Calibri" w:hAnsi="Calibri" w:cs="Calibri Light"/>
          <w:bCs/>
          <w:i/>
          <w:color w:val="31849B"/>
          <w:sz w:val="20"/>
        </w:rPr>
        <w:instrText xml:space="preserve"> SEQ Tabela \* ARABIC </w:instrText>
      </w:r>
      <w:r w:rsidR="009F107E" w:rsidRPr="006C69B9">
        <w:rPr>
          <w:rFonts w:ascii="Calibri" w:eastAsia="Calibri" w:hAnsi="Calibri" w:cs="Calibri Light"/>
          <w:bCs/>
          <w:i/>
          <w:color w:val="31849B"/>
          <w:sz w:val="20"/>
        </w:rPr>
        <w:fldChar w:fldCharType="separate"/>
      </w:r>
      <w:r w:rsidRPr="006C69B9">
        <w:rPr>
          <w:rFonts w:ascii="Calibri" w:eastAsia="Calibri" w:hAnsi="Calibri" w:cs="Calibri Light"/>
          <w:bCs/>
          <w:i/>
          <w:noProof/>
          <w:color w:val="31849B"/>
          <w:sz w:val="20"/>
        </w:rPr>
        <w:t>71</w:t>
      </w:r>
      <w:r w:rsidR="009F107E" w:rsidRPr="006C69B9">
        <w:rPr>
          <w:rFonts w:ascii="Calibri" w:eastAsia="Calibri" w:hAnsi="Calibri" w:cs="Calibri Light"/>
          <w:bCs/>
          <w:i/>
          <w:color w:val="31849B"/>
          <w:sz w:val="20"/>
        </w:rPr>
        <w:fldChar w:fldCharType="end"/>
      </w:r>
      <w:r w:rsidRPr="006C69B9">
        <w:rPr>
          <w:rFonts w:ascii="Calibri" w:eastAsia="Calibri" w:hAnsi="Calibri" w:cs="Calibri Light"/>
          <w:bCs/>
          <w:i/>
          <w:color w:val="31849B"/>
          <w:sz w:val="20"/>
        </w:rPr>
        <w:t>. Ukupno obradivo zemljište (oranice, vrtovi, bašte) u HNŽ-u</w:t>
      </w:r>
    </w:p>
    <w:tbl>
      <w:tblPr>
        <w:tblStyle w:val="MediumGrid3-Accent51"/>
        <w:tblW w:w="9498" w:type="dxa"/>
        <w:tblLook w:val="04A0"/>
      </w:tblPr>
      <w:tblGrid>
        <w:gridCol w:w="1418"/>
        <w:gridCol w:w="849"/>
        <w:gridCol w:w="787"/>
        <w:gridCol w:w="791"/>
        <w:gridCol w:w="789"/>
        <w:gridCol w:w="790"/>
        <w:gridCol w:w="789"/>
        <w:gridCol w:w="918"/>
        <w:gridCol w:w="789"/>
        <w:gridCol w:w="789"/>
        <w:gridCol w:w="789"/>
      </w:tblGrid>
      <w:tr w:rsidR="00F85905" w:rsidRPr="006C69B9" w:rsidTr="006C69B9">
        <w:trPr>
          <w:cnfStyle w:val="100000000000"/>
          <w:trHeight w:val="244"/>
        </w:trPr>
        <w:tc>
          <w:tcPr>
            <w:cnfStyle w:val="001000000000"/>
            <w:tcW w:w="1418" w:type="dxa"/>
            <w:vMerge w:val="restart"/>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UKUPNO OBRADIVO ZEMLJIŠTE</w:t>
            </w:r>
          </w:p>
        </w:tc>
        <w:tc>
          <w:tcPr>
            <w:tcW w:w="1636" w:type="dxa"/>
            <w:gridSpan w:val="2"/>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2015.</w:t>
            </w:r>
          </w:p>
        </w:tc>
        <w:tc>
          <w:tcPr>
            <w:tcW w:w="1580" w:type="dxa"/>
            <w:gridSpan w:val="2"/>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2016.</w:t>
            </w:r>
          </w:p>
        </w:tc>
        <w:tc>
          <w:tcPr>
            <w:tcW w:w="1579" w:type="dxa"/>
            <w:gridSpan w:val="2"/>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2017.</w:t>
            </w:r>
          </w:p>
        </w:tc>
        <w:tc>
          <w:tcPr>
            <w:tcW w:w="1707" w:type="dxa"/>
            <w:gridSpan w:val="2"/>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2018.</w:t>
            </w:r>
          </w:p>
        </w:tc>
        <w:tc>
          <w:tcPr>
            <w:tcW w:w="1578" w:type="dxa"/>
            <w:gridSpan w:val="2"/>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2019.</w:t>
            </w:r>
          </w:p>
        </w:tc>
      </w:tr>
      <w:tr w:rsidR="00F85905" w:rsidRPr="006C69B9" w:rsidTr="006C69B9">
        <w:trPr>
          <w:cnfStyle w:val="000000100000"/>
          <w:trHeight w:val="890"/>
        </w:trPr>
        <w:tc>
          <w:tcPr>
            <w:cnfStyle w:val="001000000000"/>
            <w:tcW w:w="1418" w:type="dxa"/>
            <w:vMerge/>
          </w:tcPr>
          <w:p w:rsidR="006C69B9" w:rsidRPr="006C69B9" w:rsidRDefault="006C69B9" w:rsidP="006C69B9">
            <w:pPr>
              <w:jc w:val="center"/>
              <w:rPr>
                <w:rFonts w:ascii="Calibri" w:eastAsia="Calibri" w:hAnsi="Calibri" w:cs="Times New Roman"/>
                <w:sz w:val="20"/>
                <w:szCs w:val="20"/>
                <w:lang w:val="bs-Latn-BA" w:eastAsia="hr-HR"/>
              </w:rPr>
            </w:pPr>
          </w:p>
        </w:tc>
        <w:tc>
          <w:tcPr>
            <w:tcW w:w="849"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P(ha)</w:t>
            </w:r>
          </w:p>
        </w:tc>
        <w:tc>
          <w:tcPr>
            <w:tcW w:w="787"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 neobr. zemlj.</w:t>
            </w:r>
          </w:p>
        </w:tc>
        <w:tc>
          <w:tcPr>
            <w:tcW w:w="791"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P(ha)</w:t>
            </w:r>
          </w:p>
        </w:tc>
        <w:tc>
          <w:tcPr>
            <w:tcW w:w="789"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 neobr. zemlj.</w:t>
            </w:r>
          </w:p>
        </w:tc>
        <w:tc>
          <w:tcPr>
            <w:tcW w:w="790"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P(ha)</w:t>
            </w:r>
          </w:p>
        </w:tc>
        <w:tc>
          <w:tcPr>
            <w:tcW w:w="789"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 neobr. zemlj.</w:t>
            </w:r>
          </w:p>
        </w:tc>
        <w:tc>
          <w:tcPr>
            <w:tcW w:w="918"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P(ha)</w:t>
            </w:r>
          </w:p>
        </w:tc>
        <w:tc>
          <w:tcPr>
            <w:tcW w:w="789"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 neobr. zemlj.</w:t>
            </w:r>
          </w:p>
        </w:tc>
        <w:tc>
          <w:tcPr>
            <w:tcW w:w="789"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P(ha)</w:t>
            </w:r>
          </w:p>
        </w:tc>
        <w:tc>
          <w:tcPr>
            <w:tcW w:w="789" w:type="dxa"/>
          </w:tcPr>
          <w:p w:rsidR="006C69B9" w:rsidRPr="006C69B9" w:rsidRDefault="006C69B9" w:rsidP="006C69B9">
            <w:pPr>
              <w:jc w:val="center"/>
              <w:cnfStyle w:val="000000100000"/>
              <w:rPr>
                <w:rFonts w:ascii="Calibri" w:eastAsia="Calibri" w:hAnsi="Calibri" w:cs="Times New Roman"/>
                <w:b/>
                <w:bCs/>
                <w:color w:val="FFFFFF"/>
                <w:sz w:val="20"/>
                <w:szCs w:val="20"/>
                <w:lang w:val="bs-Latn-BA" w:eastAsia="hr-HR"/>
              </w:rPr>
            </w:pPr>
            <w:r w:rsidRPr="006C69B9">
              <w:rPr>
                <w:rFonts w:ascii="Calibri" w:eastAsia="Calibri" w:hAnsi="Calibri" w:cs="Times New Roman"/>
                <w:b/>
                <w:bCs/>
                <w:color w:val="FFFFFF"/>
                <w:sz w:val="20"/>
                <w:szCs w:val="20"/>
                <w:lang w:val="bs-Latn-BA" w:eastAsia="hr-HR"/>
              </w:rPr>
              <w:t>% neobr. zemlj.</w:t>
            </w:r>
          </w:p>
        </w:tc>
      </w:tr>
      <w:tr w:rsidR="006C69B9" w:rsidRPr="006C69B9" w:rsidTr="006C69B9">
        <w:trPr>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Čapljina</w:t>
            </w:r>
          </w:p>
        </w:tc>
        <w:tc>
          <w:tcPr>
            <w:tcW w:w="84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3.815</w:t>
            </w:r>
          </w:p>
        </w:tc>
        <w:tc>
          <w:tcPr>
            <w:tcW w:w="787"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70,6</w:t>
            </w:r>
          </w:p>
        </w:tc>
        <w:tc>
          <w:tcPr>
            <w:tcW w:w="79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3.815</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70,6</w:t>
            </w:r>
          </w:p>
        </w:tc>
        <w:tc>
          <w:tcPr>
            <w:tcW w:w="79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3.815</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70,5</w:t>
            </w:r>
          </w:p>
        </w:tc>
        <w:tc>
          <w:tcPr>
            <w:tcW w:w="918"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4.244</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63,6</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4.224</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64,0</w:t>
            </w:r>
          </w:p>
        </w:tc>
      </w:tr>
      <w:tr w:rsidR="006C69B9" w:rsidRPr="006C69B9" w:rsidTr="006C69B9">
        <w:trPr>
          <w:cnfStyle w:val="000000100000"/>
          <w:trHeight w:val="33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Čitluk</w:t>
            </w:r>
          </w:p>
        </w:tc>
        <w:tc>
          <w:tcPr>
            <w:tcW w:w="84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2.908</w:t>
            </w:r>
          </w:p>
        </w:tc>
        <w:tc>
          <w:tcPr>
            <w:tcW w:w="787"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69,3</w:t>
            </w:r>
          </w:p>
        </w:tc>
        <w:tc>
          <w:tcPr>
            <w:tcW w:w="79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2.908</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69,3</w:t>
            </w:r>
          </w:p>
        </w:tc>
        <w:tc>
          <w:tcPr>
            <w:tcW w:w="79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2.908</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69,3</w:t>
            </w:r>
          </w:p>
        </w:tc>
        <w:tc>
          <w:tcPr>
            <w:tcW w:w="918"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2.810</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69,0</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2.808</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69,1</w:t>
            </w:r>
          </w:p>
        </w:tc>
      </w:tr>
      <w:tr w:rsidR="006C69B9" w:rsidRPr="006C69B9" w:rsidTr="006C69B9">
        <w:trPr>
          <w:trHeight w:val="33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Jablanica</w:t>
            </w:r>
          </w:p>
        </w:tc>
        <w:tc>
          <w:tcPr>
            <w:tcW w:w="84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349</w:t>
            </w:r>
          </w:p>
        </w:tc>
        <w:tc>
          <w:tcPr>
            <w:tcW w:w="787"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5,7</w:t>
            </w:r>
          </w:p>
        </w:tc>
        <w:tc>
          <w:tcPr>
            <w:tcW w:w="79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349</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5,7</w:t>
            </w:r>
          </w:p>
        </w:tc>
        <w:tc>
          <w:tcPr>
            <w:tcW w:w="79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349</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5,7</w:t>
            </w:r>
          </w:p>
        </w:tc>
        <w:tc>
          <w:tcPr>
            <w:tcW w:w="918"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391</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13,6</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391</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13,6</w:t>
            </w:r>
          </w:p>
        </w:tc>
      </w:tr>
      <w:tr w:rsidR="006C69B9" w:rsidRPr="006C69B9" w:rsidTr="006C69B9">
        <w:trPr>
          <w:cnfStyle w:val="000000100000"/>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lastRenderedPageBreak/>
              <w:t>Konjic</w:t>
            </w:r>
          </w:p>
        </w:tc>
        <w:tc>
          <w:tcPr>
            <w:tcW w:w="84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5.159</w:t>
            </w:r>
          </w:p>
        </w:tc>
        <w:tc>
          <w:tcPr>
            <w:tcW w:w="787"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56,7</w:t>
            </w:r>
          </w:p>
        </w:tc>
        <w:tc>
          <w:tcPr>
            <w:tcW w:w="79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5.159</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56,7</w:t>
            </w:r>
          </w:p>
        </w:tc>
        <w:tc>
          <w:tcPr>
            <w:tcW w:w="79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5.159</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56,7</w:t>
            </w:r>
          </w:p>
        </w:tc>
        <w:tc>
          <w:tcPr>
            <w:tcW w:w="918"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4.156</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48,0</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4.143</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48,2</w:t>
            </w:r>
          </w:p>
        </w:tc>
      </w:tr>
      <w:tr w:rsidR="006C69B9" w:rsidRPr="006C69B9" w:rsidTr="006C69B9">
        <w:trPr>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Mostar</w:t>
            </w:r>
          </w:p>
        </w:tc>
        <w:tc>
          <w:tcPr>
            <w:tcW w:w="84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2.952</w:t>
            </w:r>
          </w:p>
        </w:tc>
        <w:tc>
          <w:tcPr>
            <w:tcW w:w="787"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22,7</w:t>
            </w:r>
          </w:p>
        </w:tc>
        <w:tc>
          <w:tcPr>
            <w:tcW w:w="79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2.952</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22,7</w:t>
            </w:r>
          </w:p>
        </w:tc>
        <w:tc>
          <w:tcPr>
            <w:tcW w:w="79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2.952</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22,7</w:t>
            </w:r>
          </w:p>
        </w:tc>
        <w:tc>
          <w:tcPr>
            <w:tcW w:w="918"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5.493</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55,1</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5.523</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54,8</w:t>
            </w:r>
          </w:p>
        </w:tc>
      </w:tr>
      <w:tr w:rsidR="006C69B9" w:rsidRPr="006C69B9" w:rsidTr="006C69B9">
        <w:trPr>
          <w:cnfStyle w:val="000000100000"/>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Neum</w:t>
            </w:r>
          </w:p>
        </w:tc>
        <w:tc>
          <w:tcPr>
            <w:tcW w:w="84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812</w:t>
            </w:r>
          </w:p>
        </w:tc>
        <w:tc>
          <w:tcPr>
            <w:tcW w:w="787"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0,0</w:t>
            </w:r>
          </w:p>
        </w:tc>
        <w:tc>
          <w:tcPr>
            <w:tcW w:w="79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812</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0,0</w:t>
            </w:r>
          </w:p>
        </w:tc>
        <w:tc>
          <w:tcPr>
            <w:tcW w:w="79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812</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0,0</w:t>
            </w:r>
          </w:p>
        </w:tc>
        <w:tc>
          <w:tcPr>
            <w:tcW w:w="918"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339</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0,0</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865</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61,6</w:t>
            </w:r>
          </w:p>
        </w:tc>
      </w:tr>
      <w:tr w:rsidR="006C69B9" w:rsidRPr="006C69B9" w:rsidTr="006C69B9">
        <w:trPr>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Prozor-Rama</w:t>
            </w:r>
          </w:p>
        </w:tc>
        <w:tc>
          <w:tcPr>
            <w:tcW w:w="84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485</w:t>
            </w:r>
          </w:p>
        </w:tc>
        <w:tc>
          <w:tcPr>
            <w:tcW w:w="787"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16,5</w:t>
            </w:r>
          </w:p>
        </w:tc>
        <w:tc>
          <w:tcPr>
            <w:tcW w:w="79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485</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16,5</w:t>
            </w:r>
          </w:p>
        </w:tc>
        <w:tc>
          <w:tcPr>
            <w:tcW w:w="79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485</w:t>
            </w:r>
          </w:p>
        </w:tc>
        <w:tc>
          <w:tcPr>
            <w:tcW w:w="78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16,5</w:t>
            </w:r>
          </w:p>
        </w:tc>
        <w:tc>
          <w:tcPr>
            <w:tcW w:w="918"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3.800</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92,6</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3.800</w:t>
            </w:r>
          </w:p>
        </w:tc>
        <w:tc>
          <w:tcPr>
            <w:tcW w:w="789"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91,8</w:t>
            </w:r>
          </w:p>
        </w:tc>
      </w:tr>
      <w:tr w:rsidR="006C69B9" w:rsidRPr="006C69B9" w:rsidTr="006C69B9">
        <w:trPr>
          <w:cnfStyle w:val="000000100000"/>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Ravno</w:t>
            </w:r>
          </w:p>
        </w:tc>
        <w:tc>
          <w:tcPr>
            <w:tcW w:w="84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1.546</w:t>
            </w:r>
          </w:p>
        </w:tc>
        <w:tc>
          <w:tcPr>
            <w:tcW w:w="787"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0,0</w:t>
            </w:r>
          </w:p>
        </w:tc>
        <w:tc>
          <w:tcPr>
            <w:tcW w:w="79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1.546</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0,0</w:t>
            </w:r>
          </w:p>
        </w:tc>
        <w:tc>
          <w:tcPr>
            <w:tcW w:w="79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1.546</w:t>
            </w:r>
          </w:p>
        </w:tc>
        <w:tc>
          <w:tcPr>
            <w:tcW w:w="78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84,9</w:t>
            </w:r>
          </w:p>
        </w:tc>
        <w:tc>
          <w:tcPr>
            <w:tcW w:w="918"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1.757</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87,6</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1.757</w:t>
            </w:r>
          </w:p>
        </w:tc>
        <w:tc>
          <w:tcPr>
            <w:tcW w:w="789"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89,6</w:t>
            </w:r>
          </w:p>
        </w:tc>
      </w:tr>
      <w:tr w:rsidR="006C69B9" w:rsidRPr="006C69B9" w:rsidTr="006C69B9">
        <w:trPr>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Stolac</w:t>
            </w:r>
          </w:p>
        </w:tc>
        <w:tc>
          <w:tcPr>
            <w:tcW w:w="849"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1.499</w:t>
            </w:r>
          </w:p>
        </w:tc>
        <w:tc>
          <w:tcPr>
            <w:tcW w:w="787"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56,4</w:t>
            </w:r>
          </w:p>
        </w:tc>
        <w:tc>
          <w:tcPr>
            <w:tcW w:w="791"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1.499</w:t>
            </w:r>
          </w:p>
        </w:tc>
        <w:tc>
          <w:tcPr>
            <w:tcW w:w="789"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56,4</w:t>
            </w:r>
          </w:p>
        </w:tc>
        <w:tc>
          <w:tcPr>
            <w:tcW w:w="79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1.499</w:t>
            </w:r>
          </w:p>
        </w:tc>
        <w:tc>
          <w:tcPr>
            <w:tcW w:w="789"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56,4</w:t>
            </w:r>
          </w:p>
        </w:tc>
        <w:tc>
          <w:tcPr>
            <w:tcW w:w="918" w:type="dxa"/>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3.638</w:t>
            </w:r>
          </w:p>
        </w:tc>
        <w:tc>
          <w:tcPr>
            <w:tcW w:w="789" w:type="dxa"/>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86,2</w:t>
            </w:r>
          </w:p>
        </w:tc>
        <w:tc>
          <w:tcPr>
            <w:tcW w:w="789" w:type="dxa"/>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3.637</w:t>
            </w:r>
          </w:p>
        </w:tc>
        <w:tc>
          <w:tcPr>
            <w:tcW w:w="789" w:type="dxa"/>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84,2</w:t>
            </w:r>
          </w:p>
        </w:tc>
      </w:tr>
      <w:tr w:rsidR="006C69B9" w:rsidRPr="006C69B9" w:rsidTr="006C69B9">
        <w:trPr>
          <w:cnfStyle w:val="000000100000"/>
          <w:trHeight w:val="290"/>
        </w:trPr>
        <w:tc>
          <w:tcPr>
            <w:cnfStyle w:val="001000000000"/>
            <w:tcW w:w="141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Ukupno:</w:t>
            </w:r>
          </w:p>
        </w:tc>
        <w:tc>
          <w:tcPr>
            <w:tcW w:w="849" w:type="dxa"/>
            <w:noWrap/>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19.525</w:t>
            </w:r>
          </w:p>
        </w:tc>
        <w:tc>
          <w:tcPr>
            <w:tcW w:w="787" w:type="dxa"/>
            <w:noWrap/>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56,5</w:t>
            </w:r>
          </w:p>
        </w:tc>
        <w:tc>
          <w:tcPr>
            <w:tcW w:w="791" w:type="dxa"/>
            <w:noWrap/>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19.525</w:t>
            </w:r>
          </w:p>
        </w:tc>
        <w:tc>
          <w:tcPr>
            <w:tcW w:w="789" w:type="dxa"/>
            <w:noWrap/>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56,5</w:t>
            </w:r>
          </w:p>
        </w:tc>
        <w:tc>
          <w:tcPr>
            <w:tcW w:w="790" w:type="dxa"/>
            <w:noWrap/>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19.525</w:t>
            </w:r>
          </w:p>
        </w:tc>
        <w:tc>
          <w:tcPr>
            <w:tcW w:w="789" w:type="dxa"/>
            <w:noWrap/>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56,5</w:t>
            </w:r>
          </w:p>
        </w:tc>
        <w:tc>
          <w:tcPr>
            <w:tcW w:w="918" w:type="dxa"/>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26.628</w:t>
            </w:r>
          </w:p>
        </w:tc>
        <w:tc>
          <w:tcPr>
            <w:tcW w:w="789" w:type="dxa"/>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67,2</w:t>
            </w:r>
          </w:p>
        </w:tc>
        <w:tc>
          <w:tcPr>
            <w:tcW w:w="789" w:type="dxa"/>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27.148</w:t>
            </w:r>
          </w:p>
        </w:tc>
        <w:tc>
          <w:tcPr>
            <w:tcW w:w="789" w:type="dxa"/>
          </w:tcPr>
          <w:p w:rsidR="006C69B9" w:rsidRPr="006C69B9" w:rsidRDefault="006C69B9" w:rsidP="006C69B9">
            <w:pPr>
              <w:jc w:val="center"/>
              <w:cnfStyle w:val="0000001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67,7</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Federalni zavod za programiranje razvoja, 2016-2020</w:t>
      </w:r>
    </w:p>
    <w:p w:rsidR="006C69B9" w:rsidRPr="006C69B9" w:rsidRDefault="006C69B9" w:rsidP="006C69B9">
      <w:pPr>
        <w:spacing w:after="100" w:line="276" w:lineRule="auto"/>
        <w:ind w:left="720"/>
        <w:jc w:val="both"/>
        <w:rPr>
          <w:rFonts w:ascii="Calibri" w:eastAsia="Calibri" w:hAnsi="Calibri" w:cs="Times New Roman"/>
          <w:b/>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Najveće površine </w:t>
      </w:r>
      <w:r w:rsidRPr="006C69B9">
        <w:rPr>
          <w:rFonts w:ascii="Calibri" w:eastAsia="Calibri" w:hAnsi="Calibri" w:cs="Times New Roman"/>
          <w:b/>
          <w:lang w:val="bs-Latn-BA"/>
        </w:rPr>
        <w:t>šumskog zemljišta</w:t>
      </w:r>
      <w:r w:rsidRPr="006C69B9">
        <w:rPr>
          <w:rFonts w:ascii="Calibri" w:eastAsia="Calibri" w:hAnsi="Calibri" w:cs="Times New Roman"/>
          <w:lang w:val="bs-Latn-BA"/>
        </w:rPr>
        <w:t xml:space="preserve"> su na područjima koja administrativno pripadaju Općini Konjic, Gradu Mostaru i Općini Prozor-Rama. Ukupna zaliha drvne mase procjenjuje se na 14.014.000 m</w:t>
      </w:r>
      <w:r w:rsidRPr="006C69B9">
        <w:rPr>
          <w:rFonts w:ascii="Calibri" w:eastAsia="Calibri" w:hAnsi="Calibri" w:cs="Times New Roman"/>
          <w:vertAlign w:val="superscript"/>
          <w:lang w:val="bs-Latn-BA"/>
        </w:rPr>
        <w:t>3</w:t>
      </w:r>
      <w:r w:rsidRPr="006C69B9">
        <w:rPr>
          <w:rFonts w:ascii="Calibri" w:eastAsia="Calibri" w:hAnsi="Calibri" w:cs="Times New Roman"/>
          <w:lang w:val="bs-Latn-BA"/>
        </w:rPr>
        <w:t xml:space="preserve"> ili 458 ha/m</w:t>
      </w:r>
      <w:r w:rsidRPr="006C69B9">
        <w:rPr>
          <w:rFonts w:ascii="Calibri" w:eastAsia="Calibri" w:hAnsi="Calibri" w:cs="Times New Roman"/>
          <w:vertAlign w:val="superscript"/>
          <w:lang w:val="bs-Latn-BA"/>
        </w:rPr>
        <w:t>3</w:t>
      </w:r>
      <w:r w:rsidRPr="006C69B9">
        <w:rPr>
          <w:rFonts w:ascii="Calibri" w:eastAsia="Calibri" w:hAnsi="Calibri" w:cs="Times New Roman"/>
          <w:lang w:val="bs-Latn-BA"/>
        </w:rPr>
        <w:t>, a nešto više od polovice drvne mase (50,12%) nalazi se području Općine Konjic. U Županiji je ukupna proizvodnja šumskih drvnih sortimenata u 2019. godini iznosila 62 tisuće m</w:t>
      </w:r>
      <w:r w:rsidRPr="006C69B9">
        <w:rPr>
          <w:rFonts w:ascii="Calibri" w:eastAsia="Calibri" w:hAnsi="Calibri" w:cs="Times New Roman"/>
          <w:vertAlign w:val="superscript"/>
          <w:lang w:val="bs-Latn-BA"/>
        </w:rPr>
        <w:t>3</w:t>
      </w:r>
      <w:r w:rsidRPr="006C69B9">
        <w:rPr>
          <w:rFonts w:ascii="Calibri" w:eastAsia="Calibri" w:hAnsi="Calibri" w:cs="Times New Roman"/>
          <w:lang w:val="bs-Latn-BA"/>
        </w:rPr>
        <w:t xml:space="preserve"> i manja je za 7,5% u odnosu na 2018. godinu. Proizvodnja trupaca lišćara iznosila je 35,5%, dok je proizvodnja ogrjevnog drveta činila 62,9% od ukupne proizvodnje u 2019. godini</w:t>
      </w:r>
      <w:r w:rsidRPr="006C69B9">
        <w:rPr>
          <w:rFonts w:ascii="Calibri" w:eastAsia="Calibri" w:hAnsi="Calibri" w:cs="Times New Roman"/>
          <w:vertAlign w:val="superscript"/>
          <w:lang w:val="bs-Latn-BA"/>
        </w:rPr>
        <w:footnoteReference w:id="14"/>
      </w:r>
      <w:r w:rsidRPr="006C69B9">
        <w:rPr>
          <w:rFonts w:ascii="Calibri" w:eastAsia="Calibri" w:hAnsi="Calibri" w:cs="Times New Roman"/>
          <w:lang w:val="bs-Latn-BA"/>
        </w:rPr>
        <w:t>. Šumski sektor u HNŽ-u susreće se s brojnim problemima, koji su prvenstveno posljedica nedostatka legislative i planskih dokumenata iz oblasti šumarstva (Zakona o šumama i šumskogospodarske osnove HNŽ-a). Osim navedenoga, značajan problem u gospodarenju šumama na području Županije predstavljaju zaostala minska polja i neeksplodirana minska sredstva te učestali požari.</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72. </w:t>
      </w:r>
      <w:r w:rsidRPr="006C69B9">
        <w:rPr>
          <w:rFonts w:ascii="Calibri" w:eastAsia="Calibri" w:hAnsi="Calibri" w:cs="Calibri Light"/>
          <w:bCs/>
          <w:i/>
          <w:noProof/>
          <w:color w:val="31849B"/>
          <w:sz w:val="20"/>
        </w:rPr>
        <w:t>Površine šumskog zemljišta i drvna masa u 2019. godini</w:t>
      </w:r>
    </w:p>
    <w:tbl>
      <w:tblPr>
        <w:tblStyle w:val="MediumGrid3-Accent51"/>
        <w:tblW w:w="9648" w:type="dxa"/>
        <w:tblLook w:val="04A0"/>
      </w:tblPr>
      <w:tblGrid>
        <w:gridCol w:w="1708"/>
        <w:gridCol w:w="1320"/>
        <w:gridCol w:w="1320"/>
        <w:gridCol w:w="1280"/>
        <w:gridCol w:w="1320"/>
        <w:gridCol w:w="1320"/>
        <w:gridCol w:w="1380"/>
      </w:tblGrid>
      <w:tr w:rsidR="006C69B9" w:rsidRPr="006C69B9" w:rsidTr="006C69B9">
        <w:trPr>
          <w:cnfStyle w:val="100000000000"/>
          <w:trHeight w:val="565"/>
        </w:trPr>
        <w:tc>
          <w:tcPr>
            <w:cnfStyle w:val="001000000000"/>
            <w:tcW w:w="1708" w:type="dxa"/>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Šumsko zemljište</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Površina u ha</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Površina u ha (%)</w:t>
            </w:r>
          </w:p>
        </w:tc>
        <w:tc>
          <w:tcPr>
            <w:tcW w:w="128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Drvna masa u 000 m</w:t>
            </w:r>
            <w:r w:rsidRPr="006C69B9">
              <w:rPr>
                <w:rFonts w:ascii="Calibri" w:eastAsia="Calibri" w:hAnsi="Calibri" w:cs="Times New Roman"/>
                <w:sz w:val="20"/>
                <w:szCs w:val="20"/>
                <w:vertAlign w:val="superscript"/>
                <w:lang w:val="bs-Latn-BA" w:eastAsia="hr-HR"/>
              </w:rPr>
              <w:t>3</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Drvna masa u 000 m</w:t>
            </w:r>
            <w:r w:rsidRPr="006C69B9">
              <w:rPr>
                <w:rFonts w:ascii="Calibri" w:eastAsia="Calibri" w:hAnsi="Calibri" w:cs="Times New Roman"/>
                <w:sz w:val="20"/>
                <w:szCs w:val="20"/>
                <w:vertAlign w:val="superscript"/>
                <w:lang w:val="bs-Latn-BA" w:eastAsia="hr-HR"/>
              </w:rPr>
              <w:t xml:space="preserve">3 </w:t>
            </w:r>
            <w:r w:rsidRPr="006C69B9">
              <w:rPr>
                <w:rFonts w:ascii="Calibri" w:eastAsia="Calibri" w:hAnsi="Calibri" w:cs="Times New Roman"/>
                <w:sz w:val="20"/>
                <w:szCs w:val="20"/>
                <w:lang w:val="bs-Latn-BA" w:eastAsia="hr-HR"/>
              </w:rPr>
              <w:t>(%)</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Drvna masa po ha/m</w:t>
            </w:r>
            <w:r w:rsidRPr="006C69B9">
              <w:rPr>
                <w:rFonts w:ascii="Calibri" w:eastAsia="Calibri" w:hAnsi="Calibri" w:cs="Times New Roman"/>
                <w:sz w:val="20"/>
                <w:szCs w:val="20"/>
                <w:vertAlign w:val="superscript"/>
                <w:lang w:val="bs-Latn-BA" w:eastAsia="hr-HR"/>
              </w:rPr>
              <w:t>3</w:t>
            </w:r>
          </w:p>
        </w:tc>
        <w:tc>
          <w:tcPr>
            <w:tcW w:w="138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Drvna masa po ha/m</w:t>
            </w:r>
            <w:r w:rsidRPr="006C69B9">
              <w:rPr>
                <w:rFonts w:ascii="Calibri" w:eastAsia="Calibri" w:hAnsi="Calibri" w:cs="Times New Roman"/>
                <w:sz w:val="20"/>
                <w:szCs w:val="20"/>
                <w:vertAlign w:val="superscript"/>
                <w:lang w:val="bs-Latn-BA" w:eastAsia="hr-HR"/>
              </w:rPr>
              <w:t xml:space="preserve">3  </w:t>
            </w:r>
            <w:r w:rsidRPr="006C69B9">
              <w:rPr>
                <w:rFonts w:ascii="Calibri" w:eastAsia="Calibri" w:hAnsi="Calibri" w:cs="Times New Roman"/>
                <w:sz w:val="20"/>
                <w:szCs w:val="20"/>
                <w:lang w:val="bs-Latn-BA" w:eastAsia="hr-HR"/>
              </w:rPr>
              <w:t>(%)</w:t>
            </w:r>
          </w:p>
        </w:tc>
      </w:tr>
      <w:tr w:rsidR="006C69B9" w:rsidRPr="006C69B9" w:rsidTr="006C69B9">
        <w:trPr>
          <w:cnfStyle w:val="000000100000"/>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Čapljina</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7.600</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4,05</w:t>
            </w:r>
          </w:p>
        </w:tc>
        <w:tc>
          <w:tcPr>
            <w:tcW w:w="12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99</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0,71</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w:t>
            </w:r>
          </w:p>
        </w:tc>
        <w:tc>
          <w:tcPr>
            <w:tcW w:w="13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2,84</w:t>
            </w:r>
          </w:p>
        </w:tc>
      </w:tr>
      <w:tr w:rsidR="006C69B9" w:rsidRPr="006C69B9" w:rsidTr="006C69B9">
        <w:trPr>
          <w:trHeight w:val="33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Čitluk</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8.994</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4,80</w:t>
            </w:r>
          </w:p>
        </w:tc>
        <w:tc>
          <w:tcPr>
            <w:tcW w:w="12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297</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2,12</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33</w:t>
            </w:r>
          </w:p>
        </w:tc>
        <w:tc>
          <w:tcPr>
            <w:tcW w:w="13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7,21</w:t>
            </w:r>
          </w:p>
        </w:tc>
      </w:tr>
      <w:tr w:rsidR="006C69B9" w:rsidRPr="006C69B9" w:rsidTr="006C69B9">
        <w:trPr>
          <w:cnfStyle w:val="000000100000"/>
          <w:trHeight w:val="33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Jablanica</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13.995</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7,46</w:t>
            </w:r>
          </w:p>
        </w:tc>
        <w:tc>
          <w:tcPr>
            <w:tcW w:w="12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1.413</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10,08</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101</w:t>
            </w:r>
          </w:p>
        </w:tc>
        <w:tc>
          <w:tcPr>
            <w:tcW w:w="13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22,05</w:t>
            </w:r>
          </w:p>
        </w:tc>
      </w:tr>
      <w:tr w:rsidR="006C69B9" w:rsidRPr="006C69B9" w:rsidTr="006C69B9">
        <w:trPr>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Konjic</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50.901</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27,15</w:t>
            </w:r>
          </w:p>
        </w:tc>
        <w:tc>
          <w:tcPr>
            <w:tcW w:w="12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7.024</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50,12</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138</w:t>
            </w:r>
          </w:p>
        </w:tc>
        <w:tc>
          <w:tcPr>
            <w:tcW w:w="13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30,13</w:t>
            </w:r>
          </w:p>
        </w:tc>
      </w:tr>
      <w:tr w:rsidR="006C69B9" w:rsidRPr="006C69B9" w:rsidTr="006C69B9">
        <w:trPr>
          <w:cnfStyle w:val="000000100000"/>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Mostar</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42.048</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22,43</w:t>
            </w:r>
          </w:p>
        </w:tc>
        <w:tc>
          <w:tcPr>
            <w:tcW w:w="12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3.196</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22,81</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76</w:t>
            </w:r>
          </w:p>
        </w:tc>
        <w:tc>
          <w:tcPr>
            <w:tcW w:w="13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16,59</w:t>
            </w:r>
          </w:p>
        </w:tc>
      </w:tr>
      <w:tr w:rsidR="006C69B9" w:rsidRPr="006C69B9" w:rsidTr="006C69B9">
        <w:trPr>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Neum</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7.106</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3,79</w:t>
            </w:r>
          </w:p>
        </w:tc>
        <w:tc>
          <w:tcPr>
            <w:tcW w:w="12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0,10</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w:t>
            </w:r>
          </w:p>
        </w:tc>
        <w:tc>
          <w:tcPr>
            <w:tcW w:w="13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0,44</w:t>
            </w:r>
          </w:p>
        </w:tc>
      </w:tr>
      <w:tr w:rsidR="006C69B9" w:rsidRPr="006C69B9" w:rsidTr="006C69B9">
        <w:trPr>
          <w:cnfStyle w:val="000000100000"/>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Prozor-Rama</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23.091</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12,31</w:t>
            </w:r>
          </w:p>
        </w:tc>
        <w:tc>
          <w:tcPr>
            <w:tcW w:w="12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1.478</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10,55</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64</w:t>
            </w:r>
          </w:p>
        </w:tc>
        <w:tc>
          <w:tcPr>
            <w:tcW w:w="13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13,97</w:t>
            </w:r>
          </w:p>
        </w:tc>
      </w:tr>
      <w:tr w:rsidR="006C69B9" w:rsidRPr="006C69B9" w:rsidTr="006C69B9">
        <w:trPr>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Ravno</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10.770</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5,74</w:t>
            </w:r>
          </w:p>
        </w:tc>
        <w:tc>
          <w:tcPr>
            <w:tcW w:w="12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194</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1,38</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18</w:t>
            </w:r>
          </w:p>
        </w:tc>
        <w:tc>
          <w:tcPr>
            <w:tcW w:w="138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3,93</w:t>
            </w:r>
          </w:p>
        </w:tc>
      </w:tr>
      <w:tr w:rsidR="006C69B9" w:rsidRPr="006C69B9" w:rsidTr="006C69B9">
        <w:trPr>
          <w:cnfStyle w:val="000000100000"/>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Stolac</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23.000</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12,27</w:t>
            </w:r>
          </w:p>
        </w:tc>
        <w:tc>
          <w:tcPr>
            <w:tcW w:w="12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299</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2,13</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w:t>
            </w:r>
          </w:p>
        </w:tc>
        <w:tc>
          <w:tcPr>
            <w:tcW w:w="138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2,84</w:t>
            </w:r>
          </w:p>
        </w:tc>
      </w:tr>
      <w:tr w:rsidR="006C69B9" w:rsidRPr="006C69B9" w:rsidTr="006C69B9">
        <w:trPr>
          <w:trHeight w:val="290"/>
        </w:trPr>
        <w:tc>
          <w:tcPr>
            <w:cnfStyle w:val="001000000000"/>
            <w:tcW w:w="1708"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Ukupno:</w:t>
            </w:r>
          </w:p>
        </w:tc>
        <w:tc>
          <w:tcPr>
            <w:tcW w:w="132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187.505</w:t>
            </w:r>
          </w:p>
        </w:tc>
        <w:tc>
          <w:tcPr>
            <w:tcW w:w="132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100</w:t>
            </w:r>
          </w:p>
        </w:tc>
        <w:tc>
          <w:tcPr>
            <w:tcW w:w="128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14.014</w:t>
            </w:r>
          </w:p>
        </w:tc>
        <w:tc>
          <w:tcPr>
            <w:tcW w:w="132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100</w:t>
            </w:r>
          </w:p>
        </w:tc>
        <w:tc>
          <w:tcPr>
            <w:tcW w:w="132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458</w:t>
            </w:r>
          </w:p>
        </w:tc>
        <w:tc>
          <w:tcPr>
            <w:tcW w:w="138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100</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Federalni zavod za programiranje razvoja, 2016-2020</w:t>
      </w:r>
    </w:p>
    <w:p w:rsidR="006C69B9" w:rsidRPr="006C69B9" w:rsidRDefault="006C69B9" w:rsidP="006C69B9">
      <w:pPr>
        <w:jc w:val="center"/>
        <w:rPr>
          <w:rFonts w:ascii="Calibri" w:eastAsia="Calibri" w:hAnsi="Calibri" w:cs="Times New Roman"/>
          <w:lang w:eastAsia="hr-HR"/>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b/>
          <w:lang w:val="bs-Latn-BA"/>
        </w:rPr>
        <w:t>Neracionalno korištenje zemljišta i neplansko gospodarenje</w:t>
      </w:r>
      <w:r w:rsidRPr="006C69B9">
        <w:rPr>
          <w:rFonts w:ascii="Calibri" w:eastAsia="Calibri" w:hAnsi="Calibri" w:cs="Times New Roman"/>
          <w:lang w:val="bs-Latn-BA"/>
        </w:rPr>
        <w:t xml:space="preserve"> smatraju se glavnim uzročnicima gubitka tla, a naročito kvalitetnih tala, koja ionako predstavljaju ograničen resurs u Županiji. Najznačajnijim uzrocima oštećenja zemljišta u HNŽ-u smatraju se sljedeći procesi onečišćenja/zagađenja, degradacije i destrukcije tla</w:t>
      </w:r>
      <w:r w:rsidRPr="006C69B9">
        <w:rPr>
          <w:rFonts w:ascii="Calibri" w:eastAsia="Calibri" w:hAnsi="Calibri" w:cs="Times New Roman"/>
          <w:vertAlign w:val="superscript"/>
          <w:lang w:val="bs-Latn-BA"/>
        </w:rPr>
        <w:footnoteReference w:id="15"/>
      </w:r>
      <w:r w:rsidRPr="006C69B9">
        <w:rPr>
          <w:rFonts w:ascii="Calibri" w:eastAsia="Calibri" w:hAnsi="Calibri" w:cs="Times New Roman"/>
          <w:lang w:val="bs-Latn-BA"/>
        </w:rPr>
        <w:t>. Postojeći podaci o ispuštanjima zagađujućih tvari u tlo na području HNŽ-a</w:t>
      </w:r>
      <w:r w:rsidRPr="006C69B9">
        <w:rPr>
          <w:rFonts w:ascii="Calibri" w:eastAsia="Calibri" w:hAnsi="Calibri" w:cs="Times New Roman"/>
          <w:vertAlign w:val="superscript"/>
          <w:lang w:val="bs-Latn-BA"/>
        </w:rPr>
        <w:footnoteReference w:id="16"/>
      </w:r>
      <w:r w:rsidRPr="006C69B9">
        <w:rPr>
          <w:rFonts w:ascii="Calibri" w:eastAsia="Calibri" w:hAnsi="Calibri" w:cs="Times New Roman"/>
          <w:lang w:val="bs-Latn-BA"/>
        </w:rPr>
        <w:t xml:space="preserve"> su nepotpuni i nedostatni za kvalitetnu procjenu stanja ovog resursa, koja se temelji na pojedinačnim i sporadičnim istraživanjima.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lastRenderedPageBreak/>
        <w:t>Onečišćenja tla teškim metalima prema dostupnim podacima nisu prisutna u značajnijem broju, a evidenitarno je manji broj uzoraka tla s višim sadržjem bakra, kadmija i olova</w:t>
      </w:r>
      <w:r w:rsidRPr="006C69B9">
        <w:rPr>
          <w:rFonts w:ascii="Calibri" w:eastAsia="Calibri" w:hAnsi="Calibri" w:cs="Times New Roman"/>
          <w:vertAlign w:val="superscript"/>
          <w:lang w:val="bs-Latn-BA"/>
        </w:rPr>
        <w:footnoteReference w:id="17"/>
      </w:r>
      <w:r w:rsidRPr="006C69B9">
        <w:rPr>
          <w:rFonts w:ascii="Calibri" w:eastAsia="Calibri" w:hAnsi="Calibri" w:cs="Times New Roman"/>
          <w:lang w:val="bs-Latn-BA"/>
        </w:rPr>
        <w:t>. Stanje kvalitete tla dobro je u pogledu prisutnosti ostataka pesticida, odnosno aktivnih tvari u tlu poljoprivrednih površina</w:t>
      </w:r>
      <w:r w:rsidRPr="006C69B9">
        <w:rPr>
          <w:rFonts w:ascii="Calibri" w:eastAsia="Calibri" w:hAnsi="Calibri" w:cs="Times New Roman"/>
          <w:vertAlign w:val="superscript"/>
          <w:lang w:val="bs-Latn-BA"/>
        </w:rPr>
        <w:footnoteReference w:id="18"/>
      </w:r>
      <w:r w:rsidRPr="006C69B9">
        <w:rPr>
          <w:rFonts w:ascii="Calibri" w:eastAsia="Calibri" w:hAnsi="Calibri" w:cs="Times New Roman"/>
          <w:lang w:val="bs-Latn-BA"/>
        </w:rPr>
        <w:t>. Među aktivnim tvarima u tlu kultura na području HNŽ-a najčešće su detektirani ostaci boskalida, fluopirama i tebukonazola. Vrijednosti ostataka pesticida u analiziranim uzorcima tla na području Županije bile niže u odnosu na dostupne podatke za tla u Europi.</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U HNŽ-u najčešća je degradacija tla erozijom, uslijed nepravilnog načina njegove obrade ili intenzivne sječe šuma. Teži oblik oštećenja tla je njegova destrukcija, kada tlo u potpunosti gubi svoju proizvodnu zadaću. Destrukcija tla može biti privremena ili trajna, a na području Županije najčešći uzroci destrukcije su: površinski kopovi, šljunokopi, odlagališta industrijskog i komunalnog otpada, posljedice ratnih aktivnosti, izgradnja naselja i industrije i prometnice</w:t>
      </w:r>
      <w:r w:rsidRPr="006C69B9">
        <w:rPr>
          <w:rFonts w:ascii="Calibri" w:eastAsia="Calibri" w:hAnsi="Calibri" w:cs="Times New Roman"/>
          <w:vertAlign w:val="superscript"/>
          <w:lang w:val="bs-Latn-BA"/>
        </w:rPr>
        <w:footnoteReference w:id="19"/>
      </w:r>
      <w:r w:rsidRPr="006C69B9">
        <w:rPr>
          <w:rFonts w:ascii="Calibri" w:eastAsia="Calibri" w:hAnsi="Calibri" w:cs="Times New Roman"/>
          <w:lang w:val="bs-Latn-BA"/>
        </w:rPr>
        <w:t>.</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90" w:name="_Toc54530586"/>
      <w:bookmarkStart w:id="91" w:name="_Toc57573237"/>
      <w:r w:rsidRPr="006C69B9">
        <w:rPr>
          <w:rFonts w:ascii="Calibri" w:eastAsia="Calibri" w:hAnsi="Calibri" w:cs="Times New Roman"/>
          <w:b/>
          <w:bCs/>
          <w:iCs/>
          <w:color w:val="31849B"/>
          <w:sz w:val="24"/>
          <w:szCs w:val="28"/>
          <w:lang w:eastAsia="hr-HR"/>
        </w:rPr>
        <w:t>Vodni resursi i kvaliteta voda</w:t>
      </w:r>
      <w:bookmarkEnd w:id="90"/>
      <w:bookmarkEnd w:id="91"/>
    </w:p>
    <w:p w:rsidR="006C69B9" w:rsidRPr="006C69B9" w:rsidRDefault="006C69B9" w:rsidP="006C69B9">
      <w:pPr>
        <w:spacing w:after="100" w:line="276" w:lineRule="auto"/>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Područje HNŽ-a obiluje vodnim resursima, pod kojim je ukupno 5.997,09 ha ili 1,37% ukupne površine</w:t>
      </w:r>
      <w:r w:rsidRPr="006C69B9">
        <w:rPr>
          <w:rFonts w:ascii="Calibri" w:eastAsia="Calibri" w:hAnsi="Calibri" w:cs="Times New Roman"/>
          <w:vertAlign w:val="superscript"/>
          <w:lang w:val="bs-Latn-BA"/>
        </w:rPr>
        <w:footnoteReference w:id="20"/>
      </w:r>
      <w:r w:rsidRPr="006C69B9">
        <w:rPr>
          <w:rFonts w:ascii="Calibri" w:eastAsia="Calibri" w:hAnsi="Calibri" w:cs="Times New Roman"/>
          <w:lang w:val="bs-Latn-BA"/>
        </w:rPr>
        <w:t>. Na području Županije dobro je razvijena nadzemna i podzemna hidrološka mreža, čiju okosnicu čini rijeka Neretva sa svojim pritokama. Svojim najvećim dijelom Neretva teče područjem Federacije BiH, odnosno Hercegovačko-neretvanske županije, a veličina hidrografske slivne površine u F BiH iznosi 5.745 km</w:t>
      </w:r>
      <w:r w:rsidRPr="006C69B9">
        <w:rPr>
          <w:rFonts w:ascii="Calibri" w:eastAsia="Calibri" w:hAnsi="Calibri" w:cs="Times New Roman"/>
          <w:vertAlign w:val="superscript"/>
          <w:lang w:val="bs-Latn-BA"/>
        </w:rPr>
        <w:t xml:space="preserve">2 </w:t>
      </w:r>
      <w:r w:rsidRPr="006C69B9">
        <w:rPr>
          <w:rFonts w:ascii="Calibri" w:eastAsia="Calibri" w:hAnsi="Calibri" w:cs="Times New Roman"/>
          <w:vertAlign w:val="superscript"/>
          <w:lang w:val="bs-Latn-BA"/>
        </w:rPr>
        <w:footnoteReference w:id="21"/>
      </w:r>
      <w:r w:rsidRPr="006C69B9">
        <w:rPr>
          <w:rFonts w:ascii="Calibri" w:eastAsia="Calibri" w:hAnsi="Calibri" w:cs="Times New Roman"/>
          <w:lang w:val="bs-Latn-BA"/>
        </w:rPr>
        <w:t xml:space="preserve">. U gornjem toku, Neretva teče kanjonom i prima desne pritoke: Jasenicu, Rakitnicu, Trešanicu, Kraljušnicu, Neretvicu i Ramu, dok su lijeve pritoke: Šištica i Baštica. Gornji tok Neretve sa širim okruženjem predstavlja područje velikih prirodnih vrijednosti, koje su sačuvane u njihovom prirodnom, izvornom stanju, a osim brojnih kanjoni, klisure, vrela, tu su i jezera poput Boračkog i Blatačkog jezera. U srednjem toku, nizvodno od grada Jablanice, Neretva prima desne pritoke Doljanku i Drežanku. Ovaj dio toka Neretve i njenih pritoka je značajno izmijenjen izgradnjom hidroelektrana: HE Jablanica, HE Rama, HE Grabovica, HE Salakovac i HE Mostar. U donjem toku, nizvodno od Mostara, Neretva formira dolinu, a značajka ovog dijela toka Neretve je i dotok voda iz krških polja podzemnim tečenjem i pritokama rijeka: Radobolje, Jasenice, Trebižata, Bune, Bregave i Krupe.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Analize kvalitete površinskih voda koju provodi Agencija za vodno područje Jadranskog mora Mostar (period 2016.-2019.)</w:t>
      </w:r>
      <w:r w:rsidRPr="006C69B9">
        <w:rPr>
          <w:rFonts w:ascii="Calibri" w:eastAsia="Calibri" w:hAnsi="Calibri" w:cs="Times New Roman"/>
          <w:vertAlign w:val="superscript"/>
          <w:lang w:val="bs-Latn-BA"/>
        </w:rPr>
        <w:footnoteReference w:id="22"/>
      </w:r>
      <w:r w:rsidRPr="006C69B9">
        <w:rPr>
          <w:rFonts w:ascii="Calibri" w:eastAsia="Calibri" w:hAnsi="Calibri" w:cs="Times New Roman"/>
          <w:lang w:val="bs-Latn-BA"/>
        </w:rPr>
        <w:t xml:space="preserve"> pokazuju </w:t>
      </w:r>
      <w:r w:rsidRPr="006C69B9">
        <w:rPr>
          <w:rFonts w:ascii="Calibri" w:eastAsia="Calibri" w:hAnsi="Calibri" w:cs="Times New Roman"/>
          <w:b/>
          <w:lang w:val="bs-Latn-BA"/>
        </w:rPr>
        <w:t>visoko ili dobro ekološko stanje prirodnih tekućica, odnosno maksimalan ekološki potencijal za izmijenjena vodna tijela na području HNŽ-a</w:t>
      </w:r>
      <w:r w:rsidRPr="006C69B9">
        <w:rPr>
          <w:rFonts w:ascii="Calibri" w:eastAsia="Calibri" w:hAnsi="Calibri" w:cs="Times New Roman"/>
          <w:lang w:val="bs-Latn-BA"/>
        </w:rPr>
        <w:t>, što je u skladu važećom zakonskom regulativom (Odluka o karakterizaciji  površinski i podzemnih voda, referentnim uvjetima i parametrima za ocjenu stanja voda i monitoringu voda (Službene novine F BiH, br. 1/14); Okvirna direktiva o vodama (2000/60/EZ)).</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73. Rezultati monitoringa voda u četverogodišnjem periodu (2016.-2019.) tekućica na području HNŽ-a (SI – indeks saprobnosti; ekološko stanje: VES – visoko ekološko stanje, DES – dobro ekološko stanje; ekološki potencijal: MEP – maksimalan ekološki potencijal</w:t>
      </w:r>
    </w:p>
    <w:tbl>
      <w:tblPr>
        <w:tblStyle w:val="MediumGrid3-Accent51"/>
        <w:tblW w:w="9781" w:type="dxa"/>
        <w:jc w:val="center"/>
        <w:tblLook w:val="04A0"/>
      </w:tblPr>
      <w:tblGrid>
        <w:gridCol w:w="1218"/>
        <w:gridCol w:w="596"/>
        <w:gridCol w:w="388"/>
        <w:gridCol w:w="1142"/>
        <w:gridCol w:w="596"/>
        <w:gridCol w:w="388"/>
        <w:gridCol w:w="1139"/>
        <w:gridCol w:w="596"/>
        <w:gridCol w:w="388"/>
        <w:gridCol w:w="1083"/>
        <w:gridCol w:w="596"/>
        <w:gridCol w:w="388"/>
        <w:gridCol w:w="1263"/>
      </w:tblGrid>
      <w:tr w:rsidR="006C69B9" w:rsidRPr="006C69B9" w:rsidTr="006C69B9">
        <w:trPr>
          <w:cnfStyle w:val="100000000000"/>
          <w:trHeight w:val="300"/>
          <w:jc w:val="center"/>
        </w:trPr>
        <w:tc>
          <w:tcPr>
            <w:cnfStyle w:val="001000000000"/>
            <w:tcW w:w="1218" w:type="dxa"/>
            <w:vMerge w:val="restart"/>
            <w:hideMark/>
          </w:tcPr>
          <w:p w:rsidR="006C69B9" w:rsidRPr="006C69B9" w:rsidRDefault="006C69B9" w:rsidP="006C69B9">
            <w:pPr>
              <w:spacing w:after="100" w:line="276" w:lineRule="auto"/>
              <w:jc w:val="center"/>
              <w:rPr>
                <w:rFonts w:ascii="Calibri" w:eastAsia="Calibri" w:hAnsi="Calibri" w:cs="Calibri"/>
                <w:sz w:val="18"/>
                <w:szCs w:val="18"/>
              </w:rPr>
            </w:pPr>
            <w:r w:rsidRPr="006C69B9">
              <w:rPr>
                <w:rFonts w:ascii="Calibri" w:eastAsia="Calibri" w:hAnsi="Calibri" w:cs="Calibri"/>
                <w:sz w:val="18"/>
                <w:szCs w:val="18"/>
                <w:lang w:val="bs-Latn-BA"/>
              </w:rPr>
              <w:t xml:space="preserve">Postaje </w:t>
            </w:r>
            <w:r w:rsidRPr="006C69B9">
              <w:rPr>
                <w:rFonts w:ascii="Calibri" w:eastAsia="Calibri" w:hAnsi="Calibri" w:cs="Calibri"/>
                <w:sz w:val="18"/>
                <w:szCs w:val="18"/>
                <w:lang w:val="bs-Latn-BA"/>
              </w:rPr>
              <w:lastRenderedPageBreak/>
              <w:t>(tipologija)</w:t>
            </w:r>
          </w:p>
        </w:tc>
        <w:tc>
          <w:tcPr>
            <w:tcW w:w="2126" w:type="dxa"/>
            <w:gridSpan w:val="3"/>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lastRenderedPageBreak/>
              <w:t>2016</w:t>
            </w:r>
          </w:p>
        </w:tc>
        <w:tc>
          <w:tcPr>
            <w:tcW w:w="2123" w:type="dxa"/>
            <w:gridSpan w:val="3"/>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2017</w:t>
            </w:r>
          </w:p>
        </w:tc>
        <w:tc>
          <w:tcPr>
            <w:tcW w:w="2067" w:type="dxa"/>
            <w:gridSpan w:val="3"/>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2018</w:t>
            </w:r>
          </w:p>
        </w:tc>
        <w:tc>
          <w:tcPr>
            <w:tcW w:w="2247" w:type="dxa"/>
            <w:gridSpan w:val="3"/>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2019</w:t>
            </w:r>
          </w:p>
        </w:tc>
      </w:tr>
      <w:tr w:rsidR="006C69B9" w:rsidRPr="006C69B9" w:rsidTr="006C69B9">
        <w:trPr>
          <w:cnfStyle w:val="000000100000"/>
          <w:trHeight w:val="529"/>
          <w:jc w:val="center"/>
        </w:trPr>
        <w:tc>
          <w:tcPr>
            <w:cnfStyle w:val="001000000000"/>
            <w:tcW w:w="1218" w:type="dxa"/>
            <w:vMerge/>
            <w:hideMark/>
          </w:tcPr>
          <w:p w:rsidR="006C69B9" w:rsidRPr="006C69B9" w:rsidRDefault="006C69B9" w:rsidP="006C69B9">
            <w:pPr>
              <w:spacing w:after="100" w:line="276" w:lineRule="auto"/>
              <w:jc w:val="center"/>
              <w:rPr>
                <w:rFonts w:ascii="Calibri" w:eastAsia="Calibri" w:hAnsi="Calibri" w:cs="Calibri"/>
                <w:sz w:val="16"/>
                <w:szCs w:val="16"/>
                <w:lang w:val="bs-Latn-BA"/>
              </w:rPr>
            </w:pPr>
          </w:p>
        </w:tc>
        <w:tc>
          <w:tcPr>
            <w:tcW w:w="984" w:type="dxa"/>
            <w:gridSpan w:val="2"/>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1142" w:type="dxa"/>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stanje/ potencijal</w:t>
            </w:r>
          </w:p>
        </w:tc>
        <w:tc>
          <w:tcPr>
            <w:tcW w:w="984" w:type="dxa"/>
            <w:gridSpan w:val="2"/>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1139" w:type="dxa"/>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stanje/ potencijal</w:t>
            </w:r>
          </w:p>
        </w:tc>
        <w:tc>
          <w:tcPr>
            <w:tcW w:w="984" w:type="dxa"/>
            <w:gridSpan w:val="2"/>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1083" w:type="dxa"/>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stanje/ potencijal</w:t>
            </w:r>
          </w:p>
        </w:tc>
        <w:tc>
          <w:tcPr>
            <w:tcW w:w="984" w:type="dxa"/>
            <w:gridSpan w:val="2"/>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1263" w:type="dxa"/>
            <w:shd w:val="clear" w:color="auto" w:fill="92CDDC"/>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stanje/ potencijal</w:t>
            </w:r>
          </w:p>
        </w:tc>
      </w:tr>
      <w:tr w:rsidR="006C69B9" w:rsidRPr="006C69B9" w:rsidTr="006C69B9">
        <w:trPr>
          <w:trHeight w:val="290"/>
          <w:jc w:val="center"/>
        </w:trPr>
        <w:tc>
          <w:tcPr>
            <w:cnfStyle w:val="001000000000"/>
            <w:tcW w:w="1218" w:type="dxa"/>
            <w:vMerge/>
            <w:hideMark/>
          </w:tcPr>
          <w:p w:rsidR="006C69B9" w:rsidRPr="006C69B9" w:rsidRDefault="006C69B9" w:rsidP="006C69B9">
            <w:pPr>
              <w:spacing w:after="100" w:line="276" w:lineRule="auto"/>
              <w:jc w:val="center"/>
              <w:rPr>
                <w:rFonts w:ascii="Calibri" w:eastAsia="Calibri" w:hAnsi="Calibri" w:cs="Calibri"/>
                <w:sz w:val="16"/>
                <w:szCs w:val="16"/>
                <w:lang w:val="bs-Latn-BA"/>
              </w:rPr>
            </w:pPr>
          </w:p>
        </w:tc>
        <w:tc>
          <w:tcPr>
            <w:tcW w:w="596"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388"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1142"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c>
          <w:tcPr>
            <w:tcW w:w="596"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388"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1139"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c>
          <w:tcPr>
            <w:tcW w:w="596"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388"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1083"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c>
          <w:tcPr>
            <w:tcW w:w="596"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388"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1263" w:type="dxa"/>
            <w:shd w:val="clear" w:color="auto" w:fill="92CDDC"/>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r>
      <w:tr w:rsidR="006C69B9" w:rsidRPr="006C69B9" w:rsidTr="006C69B9">
        <w:trPr>
          <w:cnfStyle w:val="000000100000"/>
          <w:trHeight w:val="313"/>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Bijela Salakovac (12a)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1,72</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32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Blurčića potok (10a)</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bCs/>
                <w:sz w:val="16"/>
                <w:szCs w:val="16"/>
                <w:lang w:val="bs-Latn-BA"/>
              </w:rPr>
            </w:pPr>
            <w:r w:rsidRPr="006C69B9">
              <w:rPr>
                <w:rFonts w:ascii="Calibri" w:eastAsia="Calibri" w:hAnsi="Calibri" w:cs="Calibri"/>
                <w:bCs/>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1,66</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Bregava-uzv. od Stoca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1,57</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1,56</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Bregava ušće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1,72</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r>
      <w:tr w:rsidR="006C69B9" w:rsidRPr="006C69B9" w:rsidTr="006C69B9">
        <w:trPr>
          <w:cnfStyle w:val="000000100000"/>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Buna - ušće (10a)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1,63</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1,69</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Bunica-izvor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1,51</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1,44</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Diva Grabovica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1,77</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r>
      <w:tr w:rsidR="006C69B9" w:rsidRPr="006C69B9" w:rsidTr="006C69B9">
        <w:trPr>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Drežanka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7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Drežanka-ušće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1,68</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r>
      <w:tr w:rsidR="006C69B9" w:rsidRPr="006C69B9" w:rsidTr="006C69B9">
        <w:trPr>
          <w:trHeight w:val="28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Dušica (10a)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1,74</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Jasenica (10a)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1,8</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Kraljuščica (10b)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1,72</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Krupa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1,86</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Lištica - Polog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1,59</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Ljubunačka rijeka (15a)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1,75</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Ljuta (10a)</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1,65</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Moščenuša (15a)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1,48</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Neretva-uzv. od Glavatičeva (10a)</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1,45</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1,44</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1,42</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Neretva-uzv. od Konjica (14a)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1,69</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Neretva-Raštani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Neretva-Baćevići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1,75</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Neretva-Žitomislići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1,64</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1,76</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1,79</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1,72</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r>
      <w:tr w:rsidR="006C69B9" w:rsidRPr="006C69B9" w:rsidTr="006C69B9">
        <w:trPr>
          <w:cnfStyle w:val="000000100000"/>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Neretva ADA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1,67</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30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Neretva-Višići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1,85</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1,64</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5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lastRenderedPageBreak/>
              <w:t>Neretva Dračevo (JIVT)</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1,88</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r>
      <w:tr w:rsidR="006C69B9" w:rsidRPr="006C69B9" w:rsidTr="006C69B9">
        <w:trPr>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Neretvica-ušće (10b)</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1,64</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Nevizdračica (10b)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1,61</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24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Ostrožac (16)</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1,68</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8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Radobolja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2,1</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35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Rakitnica (8b)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1,69</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Ravančica (12a)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1,73</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r>
      <w:tr w:rsidR="006C69B9" w:rsidRPr="006C69B9" w:rsidTr="006C69B9">
        <w:trPr>
          <w:trHeight w:val="29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Slatinica (10a)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1,62</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Suvava (10a)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r>
      <w:tr w:rsidR="006C69B9" w:rsidRPr="006C69B9" w:rsidTr="006C69B9">
        <w:trPr>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Šanica (12a)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1,63</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cnfStyle w:val="000000100000"/>
          <w:trHeight w:val="25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Trebižat - ušće (12a)</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1,76</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1,75</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r>
      <w:tr w:rsidR="006C69B9" w:rsidRPr="006C69B9" w:rsidTr="006C69B9">
        <w:trPr>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Trešanica (JIVT)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1,59</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r>
      <w:tr w:rsidR="006C69B9" w:rsidRPr="006C69B9" w:rsidTr="006C69B9">
        <w:trPr>
          <w:cnfStyle w:val="000000100000"/>
          <w:trHeight w:val="53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Ugoščica (10b)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1,58</w:t>
            </w:r>
          </w:p>
        </w:tc>
        <w:tc>
          <w:tcPr>
            <w:tcW w:w="388"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r>
      <w:tr w:rsidR="006C69B9" w:rsidRPr="006C69B9" w:rsidTr="006C69B9">
        <w:trPr>
          <w:trHeight w:val="540"/>
          <w:jc w:val="center"/>
        </w:trPr>
        <w:tc>
          <w:tcPr>
            <w:cnfStyle w:val="001000000000"/>
            <w:tcW w:w="1218" w:type="dxa"/>
            <w:hideMark/>
          </w:tcPr>
          <w:p w:rsidR="006C69B9" w:rsidRPr="006C69B9" w:rsidRDefault="006C69B9" w:rsidP="006C69B9">
            <w:pPr>
              <w:spacing w:after="100" w:line="276" w:lineRule="auto"/>
              <w:jc w:val="center"/>
              <w:rPr>
                <w:rFonts w:ascii="Calibri" w:eastAsia="Calibri" w:hAnsi="Calibri" w:cs="Calibri"/>
                <w:sz w:val="16"/>
                <w:szCs w:val="16"/>
                <w:lang w:val="bs-Latn-BA"/>
              </w:rPr>
            </w:pPr>
            <w:r w:rsidRPr="006C69B9">
              <w:rPr>
                <w:rFonts w:ascii="Calibri" w:eastAsia="Calibri" w:hAnsi="Calibri" w:cs="Calibri"/>
                <w:sz w:val="16"/>
                <w:szCs w:val="16"/>
                <w:lang w:val="bs-Latn-BA"/>
              </w:rPr>
              <w:t xml:space="preserve">Zagradačka rijeka (15b)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42"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13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10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 </w:t>
            </w:r>
          </w:p>
        </w:tc>
        <w:tc>
          <w:tcPr>
            <w:tcW w:w="59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1,68</w:t>
            </w:r>
          </w:p>
        </w:tc>
        <w:tc>
          <w:tcPr>
            <w:tcW w:w="388"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126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r>
    </w:tbl>
    <w:p w:rsidR="006C69B9" w:rsidRPr="006C69B9" w:rsidRDefault="006C69B9" w:rsidP="006C69B9">
      <w:pPr>
        <w:spacing w:after="100" w:line="276" w:lineRule="auto"/>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Rezultati provedenih monitoringa stajaćica također ukazuju na </w:t>
      </w:r>
      <w:r w:rsidRPr="006C69B9">
        <w:rPr>
          <w:rFonts w:ascii="Calibri" w:eastAsia="Calibri" w:hAnsi="Calibri" w:cs="Times New Roman"/>
          <w:b/>
          <w:lang w:val="bs-Latn-BA"/>
        </w:rPr>
        <w:t>dobro do visoko ekološko stanje prirodnih, donosno dobar do maksimalan ekološki potencijal umjetnih stajaćica</w:t>
      </w:r>
      <w:r w:rsidRPr="006C69B9">
        <w:rPr>
          <w:rFonts w:ascii="Calibri" w:eastAsia="Calibri" w:hAnsi="Calibri" w:cs="Times New Roman"/>
          <w:lang w:val="bs-Latn-BA"/>
        </w:rPr>
        <w:t xml:space="preserve">. Što se tiče morskih ekosustava,  za postaju na moru u Neumu zabilježeno je </w:t>
      </w:r>
      <w:r w:rsidRPr="006C69B9">
        <w:rPr>
          <w:rFonts w:ascii="Calibri" w:eastAsia="Calibri" w:hAnsi="Calibri" w:cs="Times New Roman"/>
          <w:b/>
          <w:lang w:val="bs-Latn-BA"/>
        </w:rPr>
        <w:t>dobro do visoko ekološko stanje, te oligotrofan status</w:t>
      </w:r>
      <w:r w:rsidRPr="006C69B9">
        <w:rPr>
          <w:rFonts w:ascii="Calibri" w:eastAsia="Calibri" w:hAnsi="Calibri" w:cs="Times New Roman"/>
          <w:lang w:val="bs-Latn-BA"/>
        </w:rPr>
        <w:t xml:space="preserve"> u proteklom četverogodišnjem periodu.</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74. Rezultati monitoringa voda u četverogodišnjem periodu (2016.-2019.) stajaćica na području HNŽ-a (SI – indeks saprobnosti; ekološko stanje: VES – visoko ekološko stanje, DES – dobro ekološko stanje; ekološki potencijal: MEP – maksimalan ekološki potencija</w:t>
      </w:r>
    </w:p>
    <w:tbl>
      <w:tblPr>
        <w:tblStyle w:val="MediumGrid3-Accent51"/>
        <w:tblW w:w="11040" w:type="dxa"/>
        <w:jc w:val="center"/>
        <w:tblLook w:val="04A0"/>
      </w:tblPr>
      <w:tblGrid>
        <w:gridCol w:w="1083"/>
        <w:gridCol w:w="584"/>
        <w:gridCol w:w="400"/>
        <w:gridCol w:w="876"/>
        <w:gridCol w:w="583"/>
        <w:gridCol w:w="401"/>
        <w:gridCol w:w="876"/>
        <w:gridCol w:w="797"/>
        <w:gridCol w:w="583"/>
        <w:gridCol w:w="401"/>
        <w:gridCol w:w="876"/>
        <w:gridCol w:w="951"/>
        <w:gridCol w:w="583"/>
        <w:gridCol w:w="401"/>
        <w:gridCol w:w="876"/>
        <w:gridCol w:w="769"/>
      </w:tblGrid>
      <w:tr w:rsidR="006C69B9" w:rsidRPr="006C69B9" w:rsidTr="006C69B9">
        <w:trPr>
          <w:cnfStyle w:val="100000000000"/>
          <w:trHeight w:val="290"/>
          <w:jc w:val="center"/>
        </w:trPr>
        <w:tc>
          <w:tcPr>
            <w:cnfStyle w:val="001000000000"/>
            <w:tcW w:w="1083" w:type="dxa"/>
            <w:vMerge w:val="restart"/>
            <w:hideMark/>
          </w:tcPr>
          <w:p w:rsidR="006C69B9" w:rsidRPr="006C69B9" w:rsidRDefault="006C69B9" w:rsidP="006C69B9">
            <w:pPr>
              <w:spacing w:after="100" w:line="276" w:lineRule="auto"/>
              <w:jc w:val="both"/>
              <w:rPr>
                <w:rFonts w:ascii="Calibri" w:eastAsia="Calibri" w:hAnsi="Calibri" w:cs="Calibri"/>
                <w:sz w:val="18"/>
                <w:szCs w:val="18"/>
              </w:rPr>
            </w:pPr>
            <w:r w:rsidRPr="006C69B9">
              <w:rPr>
                <w:rFonts w:ascii="Calibri" w:eastAsia="Calibri" w:hAnsi="Calibri" w:cs="Calibri"/>
                <w:sz w:val="18"/>
                <w:szCs w:val="18"/>
                <w:lang w:val="bs-Latn-BA"/>
              </w:rPr>
              <w:t>Postaje (tipologija)</w:t>
            </w:r>
          </w:p>
        </w:tc>
        <w:tc>
          <w:tcPr>
            <w:tcW w:w="1860" w:type="dxa"/>
            <w:gridSpan w:val="3"/>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2016</w:t>
            </w:r>
          </w:p>
        </w:tc>
        <w:tc>
          <w:tcPr>
            <w:tcW w:w="2657" w:type="dxa"/>
            <w:gridSpan w:val="4"/>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2017</w:t>
            </w:r>
          </w:p>
        </w:tc>
        <w:tc>
          <w:tcPr>
            <w:tcW w:w="2811" w:type="dxa"/>
            <w:gridSpan w:val="4"/>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2018</w:t>
            </w:r>
          </w:p>
        </w:tc>
        <w:tc>
          <w:tcPr>
            <w:tcW w:w="2629" w:type="dxa"/>
            <w:gridSpan w:val="4"/>
            <w:noWrap/>
            <w:hideMark/>
          </w:tcPr>
          <w:p w:rsidR="006C69B9" w:rsidRPr="006C69B9" w:rsidRDefault="006C69B9" w:rsidP="006C69B9">
            <w:pPr>
              <w:spacing w:after="100" w:line="276" w:lineRule="auto"/>
              <w:jc w:val="center"/>
              <w:cnfStyle w:val="100000000000"/>
              <w:rPr>
                <w:rFonts w:ascii="Calibri" w:eastAsia="Calibri" w:hAnsi="Calibri" w:cs="Calibri"/>
                <w:sz w:val="18"/>
                <w:szCs w:val="18"/>
                <w:lang w:val="bs-Latn-BA"/>
              </w:rPr>
            </w:pPr>
            <w:r w:rsidRPr="006C69B9">
              <w:rPr>
                <w:rFonts w:ascii="Calibri" w:eastAsia="Calibri" w:hAnsi="Calibri" w:cs="Calibri"/>
                <w:sz w:val="18"/>
                <w:szCs w:val="18"/>
                <w:lang w:val="bs-Latn-BA"/>
              </w:rPr>
              <w:t>2019</w:t>
            </w:r>
          </w:p>
        </w:tc>
      </w:tr>
      <w:tr w:rsidR="006C69B9" w:rsidRPr="006C69B9" w:rsidTr="006C69B9">
        <w:trPr>
          <w:cnfStyle w:val="000000100000"/>
          <w:trHeight w:val="480"/>
          <w:jc w:val="center"/>
        </w:trPr>
        <w:tc>
          <w:tcPr>
            <w:cnfStyle w:val="001000000000"/>
            <w:tcW w:w="1083" w:type="dxa"/>
            <w:vMerge/>
            <w:hideMark/>
          </w:tcPr>
          <w:p w:rsidR="006C69B9" w:rsidRPr="006C69B9" w:rsidRDefault="006C69B9" w:rsidP="006C69B9">
            <w:pPr>
              <w:spacing w:after="100" w:line="276" w:lineRule="auto"/>
              <w:jc w:val="both"/>
              <w:rPr>
                <w:rFonts w:ascii="Calibri" w:eastAsia="Calibri" w:hAnsi="Calibri" w:cs="Calibri"/>
                <w:sz w:val="16"/>
                <w:szCs w:val="16"/>
                <w:lang w:val="bs-Latn-BA"/>
              </w:rPr>
            </w:pPr>
          </w:p>
        </w:tc>
        <w:tc>
          <w:tcPr>
            <w:tcW w:w="984" w:type="dxa"/>
            <w:gridSpan w:val="2"/>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876" w:type="dxa"/>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potencijal</w:t>
            </w:r>
          </w:p>
        </w:tc>
        <w:tc>
          <w:tcPr>
            <w:tcW w:w="984" w:type="dxa"/>
            <w:gridSpan w:val="2"/>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876" w:type="dxa"/>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potencijal</w:t>
            </w:r>
          </w:p>
        </w:tc>
        <w:tc>
          <w:tcPr>
            <w:tcW w:w="797" w:type="dxa"/>
            <w:noWrap/>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Trofija</w:t>
            </w:r>
          </w:p>
        </w:tc>
        <w:tc>
          <w:tcPr>
            <w:tcW w:w="984" w:type="dxa"/>
            <w:gridSpan w:val="2"/>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876" w:type="dxa"/>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potencijal</w:t>
            </w:r>
          </w:p>
        </w:tc>
        <w:tc>
          <w:tcPr>
            <w:tcW w:w="951" w:type="dxa"/>
            <w:noWrap/>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Trofija</w:t>
            </w:r>
          </w:p>
        </w:tc>
        <w:tc>
          <w:tcPr>
            <w:tcW w:w="984" w:type="dxa"/>
            <w:gridSpan w:val="2"/>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SI/kvaliteta vode</w:t>
            </w:r>
          </w:p>
        </w:tc>
        <w:tc>
          <w:tcPr>
            <w:tcW w:w="876" w:type="dxa"/>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Ek. potencijal</w:t>
            </w:r>
          </w:p>
        </w:tc>
        <w:tc>
          <w:tcPr>
            <w:tcW w:w="769" w:type="dxa"/>
            <w:noWrap/>
            <w:hideMark/>
          </w:tcPr>
          <w:p w:rsidR="006C69B9" w:rsidRPr="006C69B9" w:rsidRDefault="006C69B9" w:rsidP="006C69B9">
            <w:pPr>
              <w:spacing w:after="100" w:line="276" w:lineRule="auto"/>
              <w:jc w:val="center"/>
              <w:cnfStyle w:val="0000001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Trofija</w:t>
            </w:r>
          </w:p>
        </w:tc>
      </w:tr>
      <w:tr w:rsidR="0045437A" w:rsidRPr="006C69B9" w:rsidTr="006C69B9">
        <w:trPr>
          <w:trHeight w:val="290"/>
          <w:jc w:val="center"/>
        </w:trPr>
        <w:tc>
          <w:tcPr>
            <w:cnfStyle w:val="001000000000"/>
            <w:tcW w:w="1083" w:type="dxa"/>
            <w:vMerge/>
            <w:hideMark/>
          </w:tcPr>
          <w:p w:rsidR="006C69B9" w:rsidRPr="006C69B9" w:rsidRDefault="006C69B9" w:rsidP="006C69B9">
            <w:pPr>
              <w:spacing w:after="100" w:line="276" w:lineRule="auto"/>
              <w:jc w:val="both"/>
              <w:rPr>
                <w:rFonts w:ascii="Calibri" w:eastAsia="Calibri" w:hAnsi="Calibri" w:cs="Calibri"/>
                <w:sz w:val="16"/>
                <w:szCs w:val="16"/>
                <w:lang w:val="bs-Latn-BA"/>
              </w:rPr>
            </w:pPr>
          </w:p>
        </w:tc>
        <w:tc>
          <w:tcPr>
            <w:tcW w:w="584"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400"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876"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c>
          <w:tcPr>
            <w:tcW w:w="583"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401"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876"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c>
          <w:tcPr>
            <w:tcW w:w="797"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401"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876"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c>
          <w:tcPr>
            <w:tcW w:w="951"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w:t>
            </w:r>
          </w:p>
        </w:tc>
        <w:tc>
          <w:tcPr>
            <w:tcW w:w="401"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K</w:t>
            </w:r>
          </w:p>
        </w:tc>
        <w:tc>
          <w:tcPr>
            <w:tcW w:w="876"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b/>
                <w:bCs/>
                <w:sz w:val="16"/>
                <w:szCs w:val="16"/>
                <w:lang w:val="bs-Latn-BA"/>
              </w:rPr>
            </w:pPr>
            <w:r w:rsidRPr="006C69B9">
              <w:rPr>
                <w:rFonts w:ascii="Calibri" w:eastAsia="Calibri" w:hAnsi="Calibri" w:cs="Calibri"/>
                <w:b/>
                <w:bCs/>
                <w:sz w:val="16"/>
                <w:szCs w:val="16"/>
                <w:lang w:val="bs-Latn-BA"/>
              </w:rPr>
              <w:t>ukupno</w:t>
            </w:r>
          </w:p>
        </w:tc>
        <w:tc>
          <w:tcPr>
            <w:tcW w:w="769" w:type="dxa"/>
            <w:shd w:val="clear" w:color="auto" w:fill="B6DDE8"/>
            <w:noWrap/>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r>
      <w:tr w:rsidR="0045437A" w:rsidRPr="006C69B9" w:rsidTr="006C69B9">
        <w:trPr>
          <w:cnfStyle w:val="000000100000"/>
          <w:trHeight w:val="47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Akumulacija Jablanica (JVIT)</w:t>
            </w:r>
          </w:p>
        </w:tc>
        <w:tc>
          <w:tcPr>
            <w:tcW w:w="584"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400"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797"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1,75</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951" w:type="dxa"/>
            <w:shd w:val="clear" w:color="auto" w:fill="DAEEF3"/>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oligo/mezo</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6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r>
      <w:tr w:rsidR="0045437A" w:rsidRPr="006C69B9" w:rsidTr="006C69B9">
        <w:trPr>
          <w:trHeight w:val="49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Akumulacija Grabovica (JIVT)</w:t>
            </w:r>
          </w:p>
        </w:tc>
        <w:tc>
          <w:tcPr>
            <w:tcW w:w="584"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1,56</w:t>
            </w:r>
          </w:p>
        </w:tc>
        <w:tc>
          <w:tcPr>
            <w:tcW w:w="400"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797"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1,78</w:t>
            </w: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95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76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r>
      <w:tr w:rsidR="0045437A" w:rsidRPr="006C69B9" w:rsidTr="006C69B9">
        <w:trPr>
          <w:cnfStyle w:val="000000100000"/>
          <w:trHeight w:val="50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Akumulacija Salakovac (JIVT)</w:t>
            </w:r>
          </w:p>
        </w:tc>
        <w:tc>
          <w:tcPr>
            <w:tcW w:w="584"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1,53</w:t>
            </w:r>
          </w:p>
        </w:tc>
        <w:tc>
          <w:tcPr>
            <w:tcW w:w="400"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1,52</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97"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95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1,55</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6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oligo</w:t>
            </w:r>
          </w:p>
        </w:tc>
      </w:tr>
      <w:tr w:rsidR="0045437A" w:rsidRPr="006C69B9" w:rsidTr="006C69B9">
        <w:trPr>
          <w:trHeight w:val="50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 xml:space="preserve">Akumulacija Mostar </w:t>
            </w:r>
            <w:r w:rsidRPr="006C69B9">
              <w:rPr>
                <w:rFonts w:ascii="Calibri" w:eastAsia="Calibri" w:hAnsi="Calibri" w:cs="Calibri"/>
                <w:sz w:val="16"/>
                <w:szCs w:val="16"/>
                <w:lang w:val="bs-Latn-BA"/>
              </w:rPr>
              <w:lastRenderedPageBreak/>
              <w:t>(JVIT)</w:t>
            </w:r>
          </w:p>
        </w:tc>
        <w:tc>
          <w:tcPr>
            <w:tcW w:w="584"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0"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797"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95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1,62</w:t>
            </w: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76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oligo</w:t>
            </w:r>
          </w:p>
        </w:tc>
      </w:tr>
      <w:tr w:rsidR="0045437A" w:rsidRPr="006C69B9" w:rsidTr="006C69B9">
        <w:trPr>
          <w:cnfStyle w:val="000000100000"/>
          <w:trHeight w:val="50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lastRenderedPageBreak/>
              <w:t>Akumulacija Rama (JIVT)</w:t>
            </w:r>
          </w:p>
        </w:tc>
        <w:tc>
          <w:tcPr>
            <w:tcW w:w="584"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1,58</w:t>
            </w:r>
          </w:p>
        </w:tc>
        <w:tc>
          <w:tcPr>
            <w:tcW w:w="400"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1,68</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97"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1,74</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951" w:type="dxa"/>
            <w:shd w:val="clear" w:color="auto" w:fill="DAEEF3"/>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oligo/mezo</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1,75</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6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r>
      <w:tr w:rsidR="0045437A" w:rsidRPr="006C69B9" w:rsidTr="006C69B9">
        <w:trPr>
          <w:trHeight w:val="52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Blidinjsko jezero (JII)</w:t>
            </w:r>
          </w:p>
        </w:tc>
        <w:tc>
          <w:tcPr>
            <w:tcW w:w="584"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0"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797"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1,54</w:t>
            </w: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95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76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r>
      <w:tr w:rsidR="0045437A" w:rsidRPr="006C69B9" w:rsidTr="006C69B9">
        <w:trPr>
          <w:cnfStyle w:val="000000100000"/>
          <w:trHeight w:val="34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Boračko jezero (JIII)</w:t>
            </w:r>
          </w:p>
        </w:tc>
        <w:tc>
          <w:tcPr>
            <w:tcW w:w="584"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400"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1,53</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DES</w:t>
            </w:r>
          </w:p>
        </w:tc>
        <w:tc>
          <w:tcPr>
            <w:tcW w:w="797"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95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1,45</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VES</w:t>
            </w:r>
          </w:p>
        </w:tc>
        <w:tc>
          <w:tcPr>
            <w:tcW w:w="76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oligo</w:t>
            </w:r>
          </w:p>
        </w:tc>
      </w:tr>
      <w:tr w:rsidR="0045437A" w:rsidRPr="006C69B9" w:rsidTr="006C69B9">
        <w:trPr>
          <w:trHeight w:val="45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Deransko jezero (JIVT)</w:t>
            </w:r>
          </w:p>
        </w:tc>
        <w:tc>
          <w:tcPr>
            <w:tcW w:w="584"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1,56</w:t>
            </w:r>
          </w:p>
        </w:tc>
        <w:tc>
          <w:tcPr>
            <w:tcW w:w="400"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1,72</w:t>
            </w: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97"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oligo</w:t>
            </w: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95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1,77</w:t>
            </w:r>
          </w:p>
        </w:tc>
        <w:tc>
          <w:tcPr>
            <w:tcW w:w="401"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69" w:type="dxa"/>
            <w:shd w:val="clear" w:color="auto" w:fill="DAEEF3"/>
            <w:noWrap/>
            <w:vAlign w:val="center"/>
            <w:hideMark/>
          </w:tcPr>
          <w:p w:rsidR="006C69B9" w:rsidRPr="006C69B9" w:rsidRDefault="006C69B9" w:rsidP="006C69B9">
            <w:pPr>
              <w:spacing w:after="100" w:line="276" w:lineRule="auto"/>
              <w:jc w:val="center"/>
              <w:cnfStyle w:val="0000000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r>
      <w:tr w:rsidR="0045437A" w:rsidRPr="006C69B9" w:rsidTr="006C69B9">
        <w:trPr>
          <w:cnfStyle w:val="000000100000"/>
          <w:trHeight w:val="510"/>
          <w:jc w:val="center"/>
        </w:trPr>
        <w:tc>
          <w:tcPr>
            <w:cnfStyle w:val="001000000000"/>
            <w:tcW w:w="1083" w:type="dxa"/>
            <w:hideMark/>
          </w:tcPr>
          <w:p w:rsidR="006C69B9" w:rsidRPr="006C69B9" w:rsidRDefault="006C69B9" w:rsidP="006C69B9">
            <w:pPr>
              <w:spacing w:after="100" w:line="276" w:lineRule="auto"/>
              <w:jc w:val="both"/>
              <w:rPr>
                <w:rFonts w:ascii="Calibri" w:eastAsia="Calibri" w:hAnsi="Calibri" w:cs="Calibri"/>
                <w:sz w:val="16"/>
                <w:szCs w:val="16"/>
                <w:lang w:val="bs-Latn-BA"/>
              </w:rPr>
            </w:pPr>
            <w:r w:rsidRPr="006C69B9">
              <w:rPr>
                <w:rFonts w:ascii="Calibri" w:eastAsia="Calibri" w:hAnsi="Calibri" w:cs="Calibri"/>
                <w:sz w:val="16"/>
                <w:szCs w:val="16"/>
                <w:lang w:val="bs-Latn-BA"/>
              </w:rPr>
              <w:t>GKB (Trebišnjica)-JIVT</w:t>
            </w:r>
          </w:p>
        </w:tc>
        <w:tc>
          <w:tcPr>
            <w:tcW w:w="584"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400"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1,59</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DEP</w:t>
            </w:r>
          </w:p>
        </w:tc>
        <w:tc>
          <w:tcPr>
            <w:tcW w:w="797"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mezo/eu</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1,59</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95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mezo</w:t>
            </w:r>
          </w:p>
        </w:tc>
        <w:tc>
          <w:tcPr>
            <w:tcW w:w="583"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1,64</w:t>
            </w:r>
          </w:p>
        </w:tc>
        <w:tc>
          <w:tcPr>
            <w:tcW w:w="401"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I-II</w:t>
            </w:r>
          </w:p>
        </w:tc>
        <w:tc>
          <w:tcPr>
            <w:tcW w:w="876"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MEP</w:t>
            </w:r>
          </w:p>
        </w:tc>
        <w:tc>
          <w:tcPr>
            <w:tcW w:w="769" w:type="dxa"/>
            <w:shd w:val="clear" w:color="auto" w:fill="DAEEF3"/>
            <w:noWrap/>
            <w:vAlign w:val="center"/>
            <w:hideMark/>
          </w:tcPr>
          <w:p w:rsidR="006C69B9" w:rsidRPr="006C69B9" w:rsidRDefault="006C69B9" w:rsidP="006C69B9">
            <w:pPr>
              <w:spacing w:after="100" w:line="276" w:lineRule="auto"/>
              <w:jc w:val="center"/>
              <w:cnfStyle w:val="000000100000"/>
              <w:rPr>
                <w:rFonts w:ascii="Calibri" w:eastAsia="Calibri" w:hAnsi="Calibri" w:cs="Calibri"/>
                <w:sz w:val="16"/>
                <w:szCs w:val="16"/>
                <w:lang w:val="bs-Latn-BA"/>
              </w:rPr>
            </w:pPr>
            <w:r w:rsidRPr="006C69B9">
              <w:rPr>
                <w:rFonts w:ascii="Calibri" w:eastAsia="Calibri" w:hAnsi="Calibri" w:cs="Calibri"/>
                <w:sz w:val="16"/>
                <w:szCs w:val="16"/>
                <w:lang w:val="bs-Latn-BA"/>
              </w:rPr>
              <w:t>oligo</w:t>
            </w:r>
          </w:p>
        </w:tc>
      </w:tr>
    </w:tbl>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75. Rezultati monitoringa mora u četverogodišnjem periodu (2016.-2019.) (ekološko stanje: VES – visoko ekološko stanje, DES – dobro ekološko stanje; trofija: oligo – oligotrofno).</w:t>
      </w:r>
    </w:p>
    <w:tbl>
      <w:tblPr>
        <w:tblStyle w:val="MediumGrid3-Accent51"/>
        <w:tblW w:w="0" w:type="auto"/>
        <w:tblLook w:val="04A0"/>
      </w:tblPr>
      <w:tblGrid>
        <w:gridCol w:w="1140"/>
        <w:gridCol w:w="960"/>
        <w:gridCol w:w="960"/>
        <w:gridCol w:w="960"/>
        <w:gridCol w:w="960"/>
        <w:gridCol w:w="960"/>
        <w:gridCol w:w="960"/>
        <w:gridCol w:w="960"/>
        <w:gridCol w:w="960"/>
      </w:tblGrid>
      <w:tr w:rsidR="006C69B9" w:rsidRPr="006C69B9" w:rsidTr="006C69B9">
        <w:trPr>
          <w:cnfStyle w:val="100000000000"/>
          <w:trHeight w:val="290"/>
        </w:trPr>
        <w:tc>
          <w:tcPr>
            <w:cnfStyle w:val="001000000000"/>
            <w:tcW w:w="1140" w:type="dxa"/>
            <w:vMerge w:val="restart"/>
            <w:hideMark/>
          </w:tcPr>
          <w:p w:rsidR="006C69B9" w:rsidRPr="006C69B9" w:rsidRDefault="006C69B9" w:rsidP="006C69B9">
            <w:pPr>
              <w:spacing w:after="100" w:line="276" w:lineRule="auto"/>
              <w:jc w:val="both"/>
              <w:rPr>
                <w:rFonts w:ascii="Calibri" w:eastAsia="Calibri" w:hAnsi="Calibri" w:cs="Times New Roman"/>
                <w:sz w:val="18"/>
                <w:szCs w:val="18"/>
              </w:rPr>
            </w:pPr>
            <w:r w:rsidRPr="006C69B9">
              <w:rPr>
                <w:rFonts w:ascii="Calibri" w:eastAsia="Calibri" w:hAnsi="Calibri" w:cs="Times New Roman"/>
                <w:sz w:val="18"/>
                <w:szCs w:val="18"/>
                <w:lang w:val="bs-Latn-BA"/>
              </w:rPr>
              <w:t xml:space="preserve">Postaja </w:t>
            </w:r>
          </w:p>
        </w:tc>
        <w:tc>
          <w:tcPr>
            <w:tcW w:w="1920" w:type="dxa"/>
            <w:gridSpan w:val="2"/>
            <w:noWrap/>
            <w:hideMark/>
          </w:tcPr>
          <w:p w:rsidR="006C69B9" w:rsidRPr="006C69B9" w:rsidRDefault="006C69B9" w:rsidP="006C69B9">
            <w:pPr>
              <w:spacing w:after="100" w:line="276" w:lineRule="auto"/>
              <w:jc w:val="both"/>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2016</w:t>
            </w:r>
          </w:p>
        </w:tc>
        <w:tc>
          <w:tcPr>
            <w:tcW w:w="1920" w:type="dxa"/>
            <w:gridSpan w:val="2"/>
            <w:noWrap/>
            <w:hideMark/>
          </w:tcPr>
          <w:p w:rsidR="006C69B9" w:rsidRPr="006C69B9" w:rsidRDefault="006C69B9" w:rsidP="006C69B9">
            <w:pPr>
              <w:spacing w:after="100" w:line="276" w:lineRule="auto"/>
              <w:jc w:val="both"/>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2017</w:t>
            </w:r>
          </w:p>
        </w:tc>
        <w:tc>
          <w:tcPr>
            <w:tcW w:w="1920" w:type="dxa"/>
            <w:gridSpan w:val="2"/>
            <w:noWrap/>
            <w:hideMark/>
          </w:tcPr>
          <w:p w:rsidR="006C69B9" w:rsidRPr="006C69B9" w:rsidRDefault="006C69B9" w:rsidP="006C69B9">
            <w:pPr>
              <w:spacing w:after="100" w:line="276" w:lineRule="auto"/>
              <w:jc w:val="both"/>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2018</w:t>
            </w:r>
          </w:p>
        </w:tc>
        <w:tc>
          <w:tcPr>
            <w:tcW w:w="1920" w:type="dxa"/>
            <w:gridSpan w:val="2"/>
            <w:noWrap/>
            <w:hideMark/>
          </w:tcPr>
          <w:p w:rsidR="006C69B9" w:rsidRPr="006C69B9" w:rsidRDefault="006C69B9" w:rsidP="006C69B9">
            <w:pPr>
              <w:spacing w:after="100" w:line="276" w:lineRule="auto"/>
              <w:jc w:val="both"/>
              <w:cnfStyle w:val="1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2019</w:t>
            </w:r>
          </w:p>
        </w:tc>
      </w:tr>
      <w:tr w:rsidR="006C69B9" w:rsidRPr="006C69B9" w:rsidTr="006C69B9">
        <w:trPr>
          <w:cnfStyle w:val="000000100000"/>
          <w:trHeight w:val="290"/>
        </w:trPr>
        <w:tc>
          <w:tcPr>
            <w:cnfStyle w:val="001000000000"/>
            <w:tcW w:w="1140" w:type="dxa"/>
            <w:vMerge/>
            <w:hideMark/>
          </w:tcPr>
          <w:p w:rsidR="006C69B9" w:rsidRPr="006C69B9" w:rsidRDefault="006C69B9" w:rsidP="006C69B9">
            <w:pPr>
              <w:spacing w:after="100" w:line="276" w:lineRule="auto"/>
              <w:jc w:val="both"/>
              <w:rPr>
                <w:rFonts w:ascii="Calibri" w:eastAsia="Calibri" w:hAnsi="Calibri" w:cs="Times New Roman"/>
                <w:sz w:val="18"/>
                <w:szCs w:val="18"/>
                <w:lang w:val="bs-Latn-BA"/>
              </w:rPr>
            </w:pPr>
          </w:p>
        </w:tc>
        <w:tc>
          <w:tcPr>
            <w:tcW w:w="960" w:type="dxa"/>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Ek. Stanje</w:t>
            </w:r>
          </w:p>
        </w:tc>
        <w:tc>
          <w:tcPr>
            <w:tcW w:w="960" w:type="dxa"/>
            <w:noWrap/>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Trofija</w:t>
            </w:r>
          </w:p>
        </w:tc>
        <w:tc>
          <w:tcPr>
            <w:tcW w:w="960" w:type="dxa"/>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Ek. Stanje</w:t>
            </w:r>
          </w:p>
        </w:tc>
        <w:tc>
          <w:tcPr>
            <w:tcW w:w="960" w:type="dxa"/>
            <w:noWrap/>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Trofija</w:t>
            </w:r>
          </w:p>
        </w:tc>
        <w:tc>
          <w:tcPr>
            <w:tcW w:w="960" w:type="dxa"/>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Ek. Stanje</w:t>
            </w:r>
          </w:p>
        </w:tc>
        <w:tc>
          <w:tcPr>
            <w:tcW w:w="960" w:type="dxa"/>
            <w:noWrap/>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Trofija</w:t>
            </w:r>
          </w:p>
        </w:tc>
        <w:tc>
          <w:tcPr>
            <w:tcW w:w="960" w:type="dxa"/>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Ek. Stanje</w:t>
            </w:r>
          </w:p>
        </w:tc>
        <w:tc>
          <w:tcPr>
            <w:tcW w:w="960" w:type="dxa"/>
            <w:noWrap/>
            <w:hideMark/>
          </w:tcPr>
          <w:p w:rsidR="006C69B9" w:rsidRPr="006C69B9" w:rsidRDefault="006C69B9" w:rsidP="006C69B9">
            <w:pPr>
              <w:spacing w:after="100" w:line="276" w:lineRule="auto"/>
              <w:jc w:val="both"/>
              <w:cnfStyle w:val="000000100000"/>
              <w:rPr>
                <w:rFonts w:ascii="Calibri" w:eastAsia="Calibri" w:hAnsi="Calibri" w:cs="Times New Roman"/>
                <w:b/>
                <w:bCs/>
                <w:sz w:val="18"/>
                <w:szCs w:val="18"/>
                <w:lang w:val="bs-Latn-BA"/>
              </w:rPr>
            </w:pPr>
            <w:r w:rsidRPr="006C69B9">
              <w:rPr>
                <w:rFonts w:ascii="Calibri" w:eastAsia="Calibri" w:hAnsi="Calibri" w:cs="Times New Roman"/>
                <w:b/>
                <w:bCs/>
                <w:sz w:val="18"/>
                <w:szCs w:val="18"/>
                <w:lang w:val="bs-Latn-BA"/>
              </w:rPr>
              <w:t>Trofija</w:t>
            </w:r>
          </w:p>
        </w:tc>
      </w:tr>
      <w:tr w:rsidR="006C69B9" w:rsidRPr="006C69B9" w:rsidTr="006C69B9">
        <w:trPr>
          <w:trHeight w:val="490"/>
        </w:trPr>
        <w:tc>
          <w:tcPr>
            <w:cnfStyle w:val="001000000000"/>
            <w:tcW w:w="1140" w:type="dxa"/>
            <w:hideMark/>
          </w:tcPr>
          <w:p w:rsidR="006C69B9" w:rsidRPr="006C69B9" w:rsidRDefault="006C69B9" w:rsidP="006C69B9">
            <w:pPr>
              <w:spacing w:after="100" w:line="276" w:lineRule="auto"/>
              <w:jc w:val="both"/>
              <w:rPr>
                <w:rFonts w:ascii="Calibri" w:eastAsia="Calibri" w:hAnsi="Calibri" w:cs="Times New Roman"/>
                <w:sz w:val="18"/>
                <w:szCs w:val="18"/>
                <w:lang w:val="bs-Latn-BA"/>
              </w:rPr>
            </w:pPr>
            <w:r w:rsidRPr="006C69B9">
              <w:rPr>
                <w:rFonts w:ascii="Calibri" w:eastAsia="Calibri" w:hAnsi="Calibri" w:cs="Times New Roman"/>
                <w:sz w:val="18"/>
                <w:szCs w:val="18"/>
                <w:lang w:val="bs-Latn-BA"/>
              </w:rPr>
              <w:t>More Num (PM_1)</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DES</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oligo</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DES</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oligo</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VES</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oligo</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DES</w:t>
            </w:r>
          </w:p>
        </w:tc>
        <w:tc>
          <w:tcPr>
            <w:tcW w:w="960" w:type="dxa"/>
            <w:noWrap/>
            <w:vAlign w:val="center"/>
            <w:hideMark/>
          </w:tcPr>
          <w:p w:rsidR="006C69B9" w:rsidRPr="006C69B9" w:rsidRDefault="006C69B9" w:rsidP="006C69B9">
            <w:pPr>
              <w:spacing w:after="100" w:line="276" w:lineRule="auto"/>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oligo</w:t>
            </w:r>
          </w:p>
        </w:tc>
      </w:tr>
    </w:tbl>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Prostor Županije obiluje atraktivnim prirodnim ljepotama uz vodotoke rijeka pogodnim za turizam i rekreaciju. Za rekreacijske aktivnosti potrebno je osigurati najmanje dobro stanje voda (I. i II. kategorije kakvoće), a u svrhu očuvanja vrijednih vodnih resursa Županije nužno je njihovo održivo korištenje. Većina voda koje se koriste za kupanje na prostoru HNŽ-a imaju dobro mikrobiološko stanje, osim dvije plaže na Neretvi (Carinski most i Stari most), čije je stanje ocjenjeno lošim zbog povećanog sadržaja koliformnih bakterija.</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76. Rezultati monitoringa mikrobiološkog stanja voda za kupanje (2016.-2018.)</w:t>
      </w:r>
    </w:p>
    <w:tbl>
      <w:tblPr>
        <w:tblStyle w:val="MediumGrid3-Accent51"/>
        <w:tblW w:w="0" w:type="auto"/>
        <w:jc w:val="center"/>
        <w:tblLook w:val="04A0"/>
      </w:tblPr>
      <w:tblGrid>
        <w:gridCol w:w="2580"/>
        <w:gridCol w:w="960"/>
        <w:gridCol w:w="960"/>
        <w:gridCol w:w="960"/>
      </w:tblGrid>
      <w:tr w:rsidR="006C69B9" w:rsidRPr="006C69B9" w:rsidTr="006C69B9">
        <w:trPr>
          <w:cnfStyle w:val="100000000000"/>
          <w:trHeight w:val="290"/>
          <w:jc w:val="center"/>
        </w:trPr>
        <w:tc>
          <w:tcPr>
            <w:cnfStyle w:val="001000000000"/>
            <w:tcW w:w="2580" w:type="dxa"/>
            <w:vMerge w:val="restart"/>
            <w:shd w:val="clear" w:color="auto" w:fill="D2EAF1"/>
            <w:noWrap/>
            <w:hideMark/>
          </w:tcPr>
          <w:p w:rsidR="006C69B9" w:rsidRPr="006C69B9" w:rsidRDefault="006C69B9" w:rsidP="006C69B9">
            <w:pPr>
              <w:rPr>
                <w:rFonts w:ascii="Calibri" w:eastAsia="Calibri" w:hAnsi="Calibri" w:cs="Times New Roman"/>
                <w:sz w:val="20"/>
                <w:szCs w:val="20"/>
                <w:lang w:eastAsia="hr-HR"/>
              </w:rPr>
            </w:pPr>
            <w:r w:rsidRPr="006C69B9">
              <w:rPr>
                <w:rFonts w:ascii="Calibri" w:eastAsia="Calibri" w:hAnsi="Calibri" w:cs="Times New Roman"/>
                <w:sz w:val="20"/>
                <w:szCs w:val="20"/>
                <w:lang w:val="bs-Latn-BA" w:eastAsia="hr-HR"/>
              </w:rPr>
              <w:t>Postaja</w:t>
            </w:r>
          </w:p>
        </w:tc>
        <w:tc>
          <w:tcPr>
            <w:tcW w:w="2880" w:type="dxa"/>
            <w:gridSpan w:val="3"/>
            <w:shd w:val="clear" w:color="auto" w:fill="D2EAF1"/>
            <w:noWrap/>
            <w:hideMark/>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Mikrobiološko stanje</w:t>
            </w:r>
          </w:p>
        </w:tc>
      </w:tr>
      <w:tr w:rsidR="006C69B9" w:rsidRPr="006C69B9" w:rsidTr="006C69B9">
        <w:trPr>
          <w:cnfStyle w:val="000000100000"/>
          <w:trHeight w:val="450"/>
          <w:jc w:val="center"/>
        </w:trPr>
        <w:tc>
          <w:tcPr>
            <w:cnfStyle w:val="001000000000"/>
            <w:tcW w:w="2580" w:type="dxa"/>
            <w:vMerge/>
            <w:hideMark/>
          </w:tcPr>
          <w:p w:rsidR="006C69B9" w:rsidRPr="006C69B9" w:rsidRDefault="006C69B9" w:rsidP="006C69B9">
            <w:pPr>
              <w:rPr>
                <w:rFonts w:ascii="Calibri" w:eastAsia="Calibri" w:hAnsi="Calibri" w:cs="Times New Roman"/>
                <w:sz w:val="20"/>
                <w:szCs w:val="20"/>
                <w:lang w:val="bs-Latn-BA" w:eastAsia="hr-HR"/>
              </w:rPr>
            </w:pPr>
          </w:p>
        </w:tc>
        <w:tc>
          <w:tcPr>
            <w:tcW w:w="960" w:type="dxa"/>
            <w:noWrap/>
            <w:hideMark/>
          </w:tcPr>
          <w:p w:rsidR="006C69B9" w:rsidRPr="006C69B9" w:rsidRDefault="006C69B9" w:rsidP="006C69B9">
            <w:pPr>
              <w:jc w:val="center"/>
              <w:cnfStyle w:val="000000100000"/>
              <w:rPr>
                <w:rFonts w:ascii="Calibri" w:eastAsia="Calibri" w:hAnsi="Calibri" w:cs="Times New Roman"/>
                <w:b/>
                <w:bCs/>
                <w:sz w:val="20"/>
                <w:szCs w:val="20"/>
                <w:lang w:val="bs-Latn-BA" w:eastAsia="hr-HR"/>
              </w:rPr>
            </w:pPr>
            <w:r w:rsidRPr="006C69B9">
              <w:rPr>
                <w:rFonts w:ascii="Calibri" w:eastAsia="Calibri" w:hAnsi="Calibri" w:cs="Times New Roman"/>
                <w:b/>
                <w:bCs/>
                <w:sz w:val="20"/>
                <w:szCs w:val="20"/>
                <w:lang w:val="bs-Latn-BA" w:eastAsia="hr-HR"/>
              </w:rPr>
              <w:t>2016</w:t>
            </w:r>
          </w:p>
        </w:tc>
        <w:tc>
          <w:tcPr>
            <w:tcW w:w="960" w:type="dxa"/>
            <w:noWrap/>
            <w:hideMark/>
          </w:tcPr>
          <w:p w:rsidR="006C69B9" w:rsidRPr="006C69B9" w:rsidRDefault="006C69B9" w:rsidP="006C69B9">
            <w:pPr>
              <w:jc w:val="center"/>
              <w:cnfStyle w:val="000000100000"/>
              <w:rPr>
                <w:rFonts w:ascii="Calibri" w:eastAsia="Calibri" w:hAnsi="Calibri" w:cs="Times New Roman"/>
                <w:b/>
                <w:bCs/>
                <w:sz w:val="20"/>
                <w:szCs w:val="20"/>
                <w:lang w:val="bs-Latn-BA" w:eastAsia="hr-HR"/>
              </w:rPr>
            </w:pPr>
            <w:r w:rsidRPr="006C69B9">
              <w:rPr>
                <w:rFonts w:ascii="Calibri" w:eastAsia="Calibri" w:hAnsi="Calibri" w:cs="Times New Roman"/>
                <w:b/>
                <w:bCs/>
                <w:sz w:val="20"/>
                <w:szCs w:val="20"/>
                <w:lang w:val="bs-Latn-BA" w:eastAsia="hr-HR"/>
              </w:rPr>
              <w:t>2017</w:t>
            </w:r>
          </w:p>
        </w:tc>
        <w:tc>
          <w:tcPr>
            <w:tcW w:w="960" w:type="dxa"/>
            <w:noWrap/>
            <w:hideMark/>
          </w:tcPr>
          <w:p w:rsidR="006C69B9" w:rsidRPr="006C69B9" w:rsidRDefault="006C69B9" w:rsidP="006C69B9">
            <w:pPr>
              <w:jc w:val="center"/>
              <w:cnfStyle w:val="000000100000"/>
              <w:rPr>
                <w:rFonts w:ascii="Calibri" w:eastAsia="Calibri" w:hAnsi="Calibri" w:cs="Times New Roman"/>
                <w:b/>
                <w:bCs/>
                <w:sz w:val="20"/>
                <w:szCs w:val="20"/>
                <w:lang w:val="bs-Latn-BA" w:eastAsia="hr-HR"/>
              </w:rPr>
            </w:pPr>
            <w:r w:rsidRPr="006C69B9">
              <w:rPr>
                <w:rFonts w:ascii="Calibri" w:eastAsia="Calibri" w:hAnsi="Calibri" w:cs="Times New Roman"/>
                <w:b/>
                <w:bCs/>
                <w:sz w:val="20"/>
                <w:szCs w:val="20"/>
                <w:lang w:val="bs-Latn-BA" w:eastAsia="hr-HR"/>
              </w:rPr>
              <w:t>2018</w:t>
            </w:r>
          </w:p>
        </w:tc>
      </w:tr>
      <w:tr w:rsidR="006C69B9" w:rsidRPr="006C69B9" w:rsidTr="006C69B9">
        <w:trPr>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 xml:space="preserve">Boračko jezero </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cnfStyle w:val="000000100000"/>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Bunica, ušće</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Drežanka, ušće</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cnfStyle w:val="000000100000"/>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Gračac, HE Jablanica</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Neretva, HE Mostar</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cnfStyle w:val="000000100000"/>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Neretva, Jaz Čapljina</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Neretva, plaža Carinski most</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loše</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loše</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loše</w:t>
            </w:r>
          </w:p>
        </w:tc>
      </w:tr>
      <w:tr w:rsidR="006C69B9" w:rsidRPr="006C69B9" w:rsidTr="006C69B9">
        <w:trPr>
          <w:cnfStyle w:val="000000100000"/>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Neretva, plaža Ostrožac</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Neretva, plaža Stari most</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loše</w:t>
            </w:r>
          </w:p>
        </w:tc>
      </w:tr>
      <w:tr w:rsidR="006C69B9" w:rsidRPr="006C69B9" w:rsidTr="006C69B9">
        <w:trPr>
          <w:cnfStyle w:val="000000100000"/>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Neum, plaža Hotela Neum</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 xml:space="preserve">Neum, plaža hotela Sunce </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cnfStyle w:val="000000100000"/>
          <w:trHeight w:val="29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 xml:space="preserve">Neum, plaža hotela Zenit </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1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r w:rsidR="006C69B9" w:rsidRPr="006C69B9" w:rsidTr="006C69B9">
        <w:trPr>
          <w:trHeight w:val="300"/>
          <w:jc w:val="center"/>
        </w:trPr>
        <w:tc>
          <w:tcPr>
            <w:cnfStyle w:val="001000000000"/>
            <w:tcW w:w="2580" w:type="dxa"/>
            <w:noWrap/>
            <w:hideMark/>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Rama, Ramsko jezero</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c>
          <w:tcPr>
            <w:tcW w:w="960" w:type="dxa"/>
            <w:shd w:val="clear" w:color="auto" w:fill="DAEEF3"/>
            <w:noWrap/>
            <w:hideMark/>
          </w:tcPr>
          <w:p w:rsidR="006C69B9" w:rsidRPr="006C69B9" w:rsidRDefault="006C69B9" w:rsidP="006C69B9">
            <w:pPr>
              <w:jc w:val="center"/>
              <w:cnfStyle w:val="0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dobro</w:t>
            </w:r>
          </w:p>
        </w:tc>
      </w:tr>
    </w:tbl>
    <w:p w:rsidR="006C69B9" w:rsidRPr="006C69B9" w:rsidRDefault="006C69B9" w:rsidP="006C69B9">
      <w:pPr>
        <w:spacing w:after="100" w:line="276" w:lineRule="auto"/>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lastRenderedPageBreak/>
        <w:t xml:space="preserve">Vode u krškim područjima vrlo su osjetljive na negativne vanjske utjecaje. Zbog specifične povezanosti podzemnih i nadzemnih tokova, vrlo brzog procjeđivanja kroz vapnenačku podlogu i slabije mogućnosti samopročišćavanja (autopurifikacije), dospjelo onečišćenje se vrlo brzo širi i izbija u otvorene vodotoke. Kako su krška područja bogata podzemnim vodama visoke kakvoće, iznimno važnim u vodoopskrbi, svako onečišćenje površinske vode dospijeva u podzemlje, gdje može onečistiti izvore i vrela. Stoga njihova zaštita dobiva posebno na značaju, s obzirom na specifičnost i osjetljivost krškog terena te je mnogostruko složenija u odnosu na područja drugačijih litoloških i hidrogeoloških obilježja. Jedan od čestih izvora onečišćenja su otpadne vode iz industrije koje se ispuštaju u površinske ili podzemne recipijente. Osim toga, pojava antropogeno inducirane </w:t>
      </w:r>
      <w:r w:rsidRPr="006C69B9">
        <w:rPr>
          <w:rFonts w:ascii="Calibri" w:eastAsia="Calibri" w:hAnsi="Calibri" w:cs="Times New Roman"/>
          <w:b/>
          <w:lang w:val="bs-Latn-BA"/>
        </w:rPr>
        <w:t>eutrofikacije</w:t>
      </w:r>
      <w:r w:rsidRPr="006C69B9">
        <w:rPr>
          <w:rFonts w:ascii="Calibri" w:eastAsia="Calibri" w:hAnsi="Calibri" w:cs="Times New Roman"/>
          <w:lang w:val="bs-Latn-BA"/>
        </w:rPr>
        <w:t>, uslijed neplanske urbanizacije i neodržive poljoprivredne prakse, također može biti uzrokom poremećaja vodnih ekosustava. Eutrofikacija je prirodna pojava koja uslijed različitih čimbenika: povećanja koncentracije hranjivih tvari, prvenstveno dušika i fosfora ili biološkog zagađenja, odnosno unosa alohtonih/invazivnih vrsta, može biti izrazito ubrzana, što dovodi do smanjenja uporabne vrijednosti vode. Rizik od ubrzanih eutrofikacijskih promjena naročito je izražen u ekosustavima stajaćica, iako pod rizikom mogu biti i tekućice. Prema procjeni rizika zaštićeno je 10 vodnih tijela</w:t>
      </w:r>
      <w:r w:rsidRPr="006C69B9">
        <w:rPr>
          <w:rFonts w:ascii="Calibri" w:eastAsia="Calibri" w:hAnsi="Calibri" w:cs="Times New Roman"/>
          <w:vertAlign w:val="superscript"/>
          <w:lang w:val="bs-Latn-BA"/>
        </w:rPr>
        <w:footnoteReference w:id="23"/>
      </w:r>
      <w:r w:rsidRPr="006C69B9">
        <w:rPr>
          <w:rFonts w:ascii="Calibri" w:eastAsia="Calibri" w:hAnsi="Calibri" w:cs="Times New Roman"/>
          <w:lang w:val="bs-Latn-BA"/>
        </w:rPr>
        <w:t xml:space="preserve">, koja se nalaze ili zahvaćaju dio teritorija HNŽ-a, kao područja podložna eutrofikaciji i osjetljiva na nitrate.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U cilju zaštite površinskih i podzemnih voda te okoliša općenito, potrebno je što prije donijeti mjere koje se prvenstveno odnose na povećanje stupnja obuhvaćenosti kanalizacijskim sustavima s uređajima za pročišćavanje otpadnih voda odgovarajućeg kapaciteta i stupnja pročišćavanja. Također je potrebno izraditi planove za zaštitu kvalitete vode na županijskim i lokalnim razinama te uspostaviti učinkovit sustav nadzora kvalitete površinskih i podzemnih voda, sukladno važećoj legislativi (Zakon o vodama, Službene novine F BiH, br. 70/06; Okvirna direktiva o vodama, 2000/60/EZ)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77.  Zaštićena područja podložna eutrofikaciji u HNŽ-u</w:t>
      </w:r>
    </w:p>
    <w:tbl>
      <w:tblPr>
        <w:tblStyle w:val="MediumGrid3-Accent51"/>
        <w:tblW w:w="0" w:type="auto"/>
        <w:tblLook w:val="04A0"/>
      </w:tblPr>
      <w:tblGrid>
        <w:gridCol w:w="6254"/>
        <w:gridCol w:w="1932"/>
      </w:tblGrid>
      <w:tr w:rsidR="006C69B9" w:rsidRPr="006C69B9" w:rsidTr="006C69B9">
        <w:trPr>
          <w:cnfStyle w:val="100000000000"/>
        </w:trPr>
        <w:tc>
          <w:tcPr>
            <w:cnfStyle w:val="001000000000"/>
            <w:tcW w:w="6254" w:type="dxa"/>
            <w:shd w:val="clear" w:color="auto" w:fill="D2EAF1"/>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caps/>
                <w:sz w:val="18"/>
                <w:szCs w:val="18"/>
                <w:lang w:val="bs-Latn-BA"/>
              </w:rPr>
              <w:t xml:space="preserve">Zaštićena vodna područja </w:t>
            </w:r>
          </w:p>
        </w:tc>
        <w:tc>
          <w:tcPr>
            <w:tcW w:w="1932" w:type="dxa"/>
            <w:shd w:val="clear" w:color="auto" w:fill="D2EAF1"/>
          </w:tcPr>
          <w:p w:rsidR="006C69B9" w:rsidRPr="006C69B9" w:rsidRDefault="006C69B9" w:rsidP="006C69B9">
            <w:pPr>
              <w:jc w:val="center"/>
              <w:cnfStyle w:val="100000000000"/>
              <w:rPr>
                <w:rFonts w:ascii="Calibri" w:eastAsia="Calibri" w:hAnsi="Calibri" w:cs="Times New Roman"/>
                <w:sz w:val="18"/>
                <w:szCs w:val="18"/>
                <w:lang w:val="bs-Latn-BA"/>
              </w:rPr>
            </w:pPr>
            <w:r w:rsidRPr="006C69B9">
              <w:rPr>
                <w:rFonts w:ascii="Calibri" w:eastAsia="Calibri" w:hAnsi="Calibri" w:cs="Times New Roman"/>
                <w:caps/>
                <w:sz w:val="18"/>
                <w:szCs w:val="18"/>
                <w:lang w:val="bs-Latn-BA"/>
              </w:rPr>
              <w:t>Površina pod zaštitom (ha)</w:t>
            </w:r>
          </w:p>
        </w:tc>
      </w:tr>
      <w:tr w:rsidR="006C69B9" w:rsidRPr="006C69B9" w:rsidTr="006C69B9">
        <w:trPr>
          <w:cnfStyle w:val="000000100000"/>
        </w:trPr>
        <w:tc>
          <w:tcPr>
            <w:cnfStyle w:val="001000000000"/>
            <w:tcW w:w="8186" w:type="dxa"/>
            <w:gridSpan w:val="2"/>
            <w:shd w:val="clear" w:color="auto" w:fill="D2EAF1"/>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O</w:t>
            </w:r>
            <w:r w:rsidRPr="006C69B9">
              <w:rPr>
                <w:rFonts w:ascii="Calibri" w:eastAsia="Calibri" w:hAnsi="Calibri" w:cs="Times New Roman"/>
                <w:caps/>
                <w:sz w:val="18"/>
                <w:szCs w:val="18"/>
                <w:lang w:val="bs-Latn-BA"/>
              </w:rPr>
              <w:t>sjetljiva područja</w:t>
            </w:r>
          </w:p>
        </w:tc>
      </w:tr>
      <w:tr w:rsidR="006C69B9" w:rsidRPr="006C69B9" w:rsidTr="006C69B9">
        <w:tc>
          <w:tcPr>
            <w:cnfStyle w:val="001000000000"/>
            <w:tcW w:w="6254" w:type="dxa"/>
            <w:shd w:val="clear" w:color="auto" w:fill="D2EAF1"/>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JABLANIČKO JEZERO (BA_NTRB_NER_8 I BA_NTRB_NER_7)</w:t>
            </w:r>
          </w:p>
        </w:tc>
        <w:tc>
          <w:tcPr>
            <w:tcW w:w="1932" w:type="dxa"/>
          </w:tcPr>
          <w:p w:rsidR="006C69B9" w:rsidRPr="006C69B9" w:rsidRDefault="006C69B9" w:rsidP="006C69B9">
            <w:pPr>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5.065,93</w:t>
            </w:r>
          </w:p>
        </w:tc>
      </w:tr>
      <w:tr w:rsidR="006C69B9" w:rsidRPr="006C69B9" w:rsidTr="006C69B9">
        <w:trPr>
          <w:cnfStyle w:val="000000100000"/>
        </w:trPr>
        <w:tc>
          <w:tcPr>
            <w:cnfStyle w:val="001000000000"/>
            <w:tcW w:w="6254" w:type="dxa"/>
            <w:shd w:val="clear" w:color="auto" w:fill="D2EAF1"/>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RAMSKO JEZERO (BA_NTRB_RAMJ_1)</w:t>
            </w:r>
          </w:p>
        </w:tc>
        <w:tc>
          <w:tcPr>
            <w:tcW w:w="1932" w:type="dxa"/>
            <w:shd w:val="clear" w:color="auto" w:fill="D2EAF1"/>
          </w:tcPr>
          <w:p w:rsidR="006C69B9" w:rsidRPr="006C69B9" w:rsidRDefault="006C69B9" w:rsidP="006C69B9">
            <w:pPr>
              <w:jc w:val="center"/>
              <w:cnfStyle w:val="0000001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3.972,27</w:t>
            </w:r>
          </w:p>
        </w:tc>
      </w:tr>
      <w:tr w:rsidR="006C69B9" w:rsidRPr="006C69B9" w:rsidTr="006C69B9">
        <w:tc>
          <w:tcPr>
            <w:cnfStyle w:val="001000000000"/>
            <w:tcW w:w="6254" w:type="dxa"/>
            <w:shd w:val="clear" w:color="auto" w:fill="D2EAF1"/>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TREBIŠNJICA GKB (BA_NTRB_TREBIS_1)</w:t>
            </w:r>
          </w:p>
        </w:tc>
        <w:tc>
          <w:tcPr>
            <w:tcW w:w="1932" w:type="dxa"/>
          </w:tcPr>
          <w:p w:rsidR="006C69B9" w:rsidRPr="006C69B9" w:rsidRDefault="006C69B9" w:rsidP="006C69B9">
            <w:pPr>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4.334,17</w:t>
            </w:r>
          </w:p>
        </w:tc>
      </w:tr>
      <w:tr w:rsidR="006C69B9" w:rsidRPr="006C69B9" w:rsidTr="006C69B9">
        <w:trPr>
          <w:cnfStyle w:val="000000100000"/>
        </w:trPr>
        <w:tc>
          <w:tcPr>
            <w:cnfStyle w:val="001000000000"/>
            <w:tcW w:w="8186" w:type="dxa"/>
            <w:gridSpan w:val="2"/>
            <w:shd w:val="clear" w:color="auto" w:fill="D2EAF1"/>
          </w:tcPr>
          <w:p w:rsidR="006C69B9" w:rsidRPr="006C69B9" w:rsidRDefault="006C69B9" w:rsidP="006C69B9">
            <w:pPr>
              <w:jc w:val="center"/>
              <w:rPr>
                <w:rFonts w:ascii="Calibri" w:eastAsia="Calibri" w:hAnsi="Calibri" w:cs="Times New Roman"/>
                <w:sz w:val="18"/>
                <w:szCs w:val="18"/>
                <w:lang w:val="bs-Latn-BA"/>
              </w:rPr>
            </w:pPr>
            <w:r w:rsidRPr="006C69B9">
              <w:rPr>
                <w:rFonts w:ascii="Calibri" w:eastAsia="Calibri" w:hAnsi="Calibri" w:cs="Times New Roman"/>
                <w:sz w:val="18"/>
                <w:szCs w:val="18"/>
                <w:lang w:val="bs-Latn-BA"/>
              </w:rPr>
              <w:t>MANJE OSJETLJIVA PODRUČJA</w:t>
            </w:r>
          </w:p>
        </w:tc>
      </w:tr>
      <w:tr w:rsidR="006C69B9" w:rsidRPr="006C69B9" w:rsidTr="006C69B9">
        <w:tc>
          <w:tcPr>
            <w:cnfStyle w:val="001000000000"/>
            <w:tcW w:w="6254" w:type="dxa"/>
            <w:shd w:val="clear" w:color="auto" w:fill="D2EAF1"/>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LUKOČ (BA_NTRB_LUKO_2)</w:t>
            </w:r>
          </w:p>
        </w:tc>
        <w:tc>
          <w:tcPr>
            <w:tcW w:w="1932" w:type="dxa"/>
          </w:tcPr>
          <w:p w:rsidR="006C69B9" w:rsidRPr="006C69B9" w:rsidRDefault="006C69B9" w:rsidP="006C69B9">
            <w:pPr>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1.973,90</w:t>
            </w:r>
          </w:p>
        </w:tc>
      </w:tr>
      <w:tr w:rsidR="006C69B9" w:rsidRPr="006C69B9" w:rsidTr="006C69B9">
        <w:trPr>
          <w:cnfStyle w:val="000000100000"/>
        </w:trPr>
        <w:tc>
          <w:tcPr>
            <w:cnfStyle w:val="001000000000"/>
            <w:tcW w:w="6254" w:type="dxa"/>
            <w:shd w:val="clear" w:color="auto" w:fill="D2EAF1"/>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BORAČKO JEZERO (BA_NTRB_BORJ)</w:t>
            </w:r>
          </w:p>
        </w:tc>
        <w:tc>
          <w:tcPr>
            <w:tcW w:w="1932" w:type="dxa"/>
            <w:shd w:val="clear" w:color="auto" w:fill="D2EAF1"/>
          </w:tcPr>
          <w:p w:rsidR="006C69B9" w:rsidRPr="006C69B9" w:rsidRDefault="006C69B9" w:rsidP="006C69B9">
            <w:pPr>
              <w:jc w:val="center"/>
              <w:cnfStyle w:val="0000001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267,44</w:t>
            </w:r>
          </w:p>
        </w:tc>
      </w:tr>
      <w:tr w:rsidR="006C69B9" w:rsidRPr="006C69B9" w:rsidTr="006C69B9">
        <w:tc>
          <w:tcPr>
            <w:cnfStyle w:val="001000000000"/>
            <w:tcW w:w="6254" w:type="dxa"/>
            <w:shd w:val="clear" w:color="auto" w:fill="D2EAF1"/>
          </w:tcPr>
          <w:p w:rsidR="006C69B9" w:rsidRPr="006C69B9" w:rsidRDefault="006C69B9" w:rsidP="006C69B9">
            <w:pPr>
              <w:rPr>
                <w:rFonts w:ascii="Calibri" w:eastAsia="Calibri" w:hAnsi="Calibri" w:cs="Times New Roman"/>
                <w:sz w:val="18"/>
                <w:szCs w:val="18"/>
                <w:lang w:val="bs-Latn-BA"/>
              </w:rPr>
            </w:pPr>
            <w:r w:rsidRPr="006C69B9">
              <w:rPr>
                <w:rFonts w:ascii="Calibri" w:eastAsia="Calibri" w:hAnsi="Calibri" w:cs="Times New Roman"/>
                <w:sz w:val="18"/>
                <w:szCs w:val="18"/>
                <w:lang w:val="bs-Latn-BA"/>
              </w:rPr>
              <w:t>SVITAVSKO JEZERO (BA_NTRB_MATS_1)</w:t>
            </w:r>
          </w:p>
        </w:tc>
        <w:tc>
          <w:tcPr>
            <w:tcW w:w="1932" w:type="dxa"/>
          </w:tcPr>
          <w:p w:rsidR="006C69B9" w:rsidRPr="006C69B9" w:rsidRDefault="006C69B9" w:rsidP="006C69B9">
            <w:pPr>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2.734,24</w:t>
            </w:r>
          </w:p>
        </w:tc>
      </w:tr>
      <w:tr w:rsidR="006C69B9" w:rsidRPr="006C69B9" w:rsidTr="006C69B9">
        <w:trPr>
          <w:cnfStyle w:val="000000100000"/>
        </w:trPr>
        <w:tc>
          <w:tcPr>
            <w:cnfStyle w:val="001000000000"/>
            <w:tcW w:w="6254" w:type="dxa"/>
            <w:shd w:val="clear" w:color="auto" w:fill="D2EAF1"/>
          </w:tcPr>
          <w:p w:rsidR="006C69B9" w:rsidRPr="006C69B9" w:rsidRDefault="006C69B9" w:rsidP="006C69B9">
            <w:pPr>
              <w:rPr>
                <w:rFonts w:ascii="Calibri" w:eastAsia="Calibri" w:hAnsi="Calibri" w:cs="Times New Roman"/>
                <w:caps/>
                <w:sz w:val="18"/>
                <w:szCs w:val="18"/>
                <w:lang w:val="bs-Latn-BA"/>
              </w:rPr>
            </w:pPr>
            <w:r w:rsidRPr="006C69B9">
              <w:rPr>
                <w:rFonts w:ascii="Calibri" w:eastAsia="Calibri" w:hAnsi="Calibri" w:cs="Times New Roman"/>
                <w:sz w:val="18"/>
                <w:szCs w:val="18"/>
                <w:lang w:val="bs-Latn-BA"/>
              </w:rPr>
              <w:t>DERANSKO JEZERO (BA_NTRB_DER)</w:t>
            </w:r>
          </w:p>
        </w:tc>
        <w:tc>
          <w:tcPr>
            <w:tcW w:w="1932" w:type="dxa"/>
            <w:shd w:val="clear" w:color="auto" w:fill="D2EAF1"/>
          </w:tcPr>
          <w:p w:rsidR="006C69B9" w:rsidRPr="006C69B9" w:rsidRDefault="006C69B9" w:rsidP="006C69B9">
            <w:pPr>
              <w:jc w:val="center"/>
              <w:cnfStyle w:val="0000001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947,63</w:t>
            </w:r>
          </w:p>
        </w:tc>
      </w:tr>
      <w:tr w:rsidR="006C69B9" w:rsidRPr="006C69B9" w:rsidTr="006C69B9">
        <w:tc>
          <w:tcPr>
            <w:cnfStyle w:val="001000000000"/>
            <w:tcW w:w="6254" w:type="dxa"/>
            <w:shd w:val="clear" w:color="auto" w:fill="D2EAF1"/>
          </w:tcPr>
          <w:p w:rsidR="006C69B9" w:rsidRPr="006C69B9" w:rsidRDefault="006C69B9" w:rsidP="006C69B9">
            <w:pPr>
              <w:rPr>
                <w:rFonts w:ascii="Calibri" w:eastAsia="Calibri" w:hAnsi="Calibri" w:cs="Times New Roman"/>
                <w:caps/>
                <w:sz w:val="18"/>
                <w:szCs w:val="18"/>
                <w:lang w:val="bs-Latn-BA"/>
              </w:rPr>
            </w:pPr>
            <w:r w:rsidRPr="006C69B9">
              <w:rPr>
                <w:rFonts w:ascii="Calibri" w:eastAsia="Calibri" w:hAnsi="Calibri" w:cs="Times New Roman"/>
                <w:sz w:val="18"/>
                <w:szCs w:val="18"/>
                <w:lang w:val="bs-Latn-BA"/>
              </w:rPr>
              <w:t>AKUMULACIJA HE SALAKOVAC (BA_NTRB_NER_4)</w:t>
            </w:r>
          </w:p>
        </w:tc>
        <w:tc>
          <w:tcPr>
            <w:tcW w:w="1932" w:type="dxa"/>
          </w:tcPr>
          <w:p w:rsidR="006C69B9" w:rsidRPr="006C69B9" w:rsidRDefault="006C69B9" w:rsidP="006C69B9">
            <w:pPr>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794,59</w:t>
            </w:r>
          </w:p>
        </w:tc>
      </w:tr>
      <w:tr w:rsidR="006C69B9" w:rsidRPr="006C69B9" w:rsidTr="006C69B9">
        <w:trPr>
          <w:cnfStyle w:val="000000100000"/>
        </w:trPr>
        <w:tc>
          <w:tcPr>
            <w:cnfStyle w:val="001000000000"/>
            <w:tcW w:w="6254" w:type="dxa"/>
            <w:shd w:val="clear" w:color="auto" w:fill="D2EAF1"/>
          </w:tcPr>
          <w:p w:rsidR="006C69B9" w:rsidRPr="006C69B9" w:rsidRDefault="006C69B9" w:rsidP="006C69B9">
            <w:pPr>
              <w:rPr>
                <w:rFonts w:ascii="Calibri" w:eastAsia="Calibri" w:hAnsi="Calibri" w:cs="Times New Roman"/>
                <w:caps/>
                <w:sz w:val="18"/>
                <w:szCs w:val="18"/>
                <w:lang w:val="bs-Latn-BA"/>
              </w:rPr>
            </w:pPr>
            <w:r w:rsidRPr="006C69B9">
              <w:rPr>
                <w:rFonts w:ascii="Calibri" w:eastAsia="Calibri" w:hAnsi="Calibri" w:cs="Times New Roman"/>
                <w:sz w:val="18"/>
                <w:szCs w:val="18"/>
                <w:lang w:val="bs-Latn-BA"/>
              </w:rPr>
              <w:t>AKUMULACIJA HE GRABOVICA (BA_NTRB_NER_5)</w:t>
            </w:r>
          </w:p>
        </w:tc>
        <w:tc>
          <w:tcPr>
            <w:tcW w:w="1932" w:type="dxa"/>
            <w:shd w:val="clear" w:color="auto" w:fill="D2EAF1"/>
          </w:tcPr>
          <w:p w:rsidR="006C69B9" w:rsidRPr="006C69B9" w:rsidRDefault="006C69B9" w:rsidP="006C69B9">
            <w:pPr>
              <w:jc w:val="center"/>
              <w:cnfStyle w:val="0000001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352,86</w:t>
            </w:r>
          </w:p>
        </w:tc>
      </w:tr>
      <w:tr w:rsidR="006C69B9" w:rsidRPr="006C69B9" w:rsidTr="006C69B9">
        <w:tc>
          <w:tcPr>
            <w:cnfStyle w:val="001000000000"/>
            <w:tcW w:w="6254" w:type="dxa"/>
            <w:shd w:val="clear" w:color="auto" w:fill="D2EAF1"/>
          </w:tcPr>
          <w:p w:rsidR="006C69B9" w:rsidRPr="006C69B9" w:rsidRDefault="006C69B9" w:rsidP="006C69B9">
            <w:pPr>
              <w:rPr>
                <w:rFonts w:ascii="Calibri" w:eastAsia="Calibri" w:hAnsi="Calibri" w:cs="Times New Roman"/>
                <w:caps/>
                <w:sz w:val="18"/>
                <w:szCs w:val="18"/>
                <w:lang w:val="bs-Latn-BA"/>
              </w:rPr>
            </w:pPr>
            <w:r w:rsidRPr="006C69B9">
              <w:rPr>
                <w:rFonts w:ascii="Calibri" w:eastAsia="Calibri" w:hAnsi="Calibri" w:cs="Times New Roman"/>
                <w:sz w:val="18"/>
                <w:szCs w:val="18"/>
                <w:lang w:val="bs-Latn-BA"/>
              </w:rPr>
              <w:t>BLIDINJSKO JEZERO (BA_NTRB_BLIDJ)</w:t>
            </w:r>
          </w:p>
        </w:tc>
        <w:tc>
          <w:tcPr>
            <w:tcW w:w="1932" w:type="dxa"/>
          </w:tcPr>
          <w:p w:rsidR="006C69B9" w:rsidRPr="006C69B9" w:rsidRDefault="006C69B9" w:rsidP="006C69B9">
            <w:pPr>
              <w:jc w:val="center"/>
              <w:cnfStyle w:val="000000000000"/>
              <w:rPr>
                <w:rFonts w:ascii="Calibri" w:eastAsia="Calibri" w:hAnsi="Calibri" w:cs="Times New Roman"/>
                <w:sz w:val="18"/>
                <w:szCs w:val="18"/>
                <w:lang w:val="bs-Latn-BA"/>
              </w:rPr>
            </w:pPr>
            <w:r w:rsidRPr="006C69B9">
              <w:rPr>
                <w:rFonts w:ascii="Calibri" w:eastAsia="Calibri" w:hAnsi="Calibri" w:cs="Times New Roman"/>
                <w:sz w:val="18"/>
                <w:szCs w:val="18"/>
                <w:lang w:val="bs-Latn-BA"/>
              </w:rPr>
              <w:t>3.234,50</w:t>
            </w:r>
          </w:p>
        </w:tc>
      </w:tr>
    </w:tbl>
    <w:p w:rsidR="006C69B9" w:rsidRPr="006C69B9" w:rsidRDefault="006C69B9" w:rsidP="006C69B9">
      <w:pPr>
        <w:spacing w:after="100" w:line="276" w:lineRule="auto"/>
        <w:jc w:val="both"/>
        <w:rPr>
          <w:rFonts w:ascii="Calibri Light" w:eastAsia="Calibri" w:hAnsi="Calibri Light" w:cs="Calibri Light"/>
          <w:sz w:val="26"/>
          <w:szCs w:val="26"/>
          <w:lang w:val="bs-Latn-BA"/>
        </w:rPr>
      </w:pP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92" w:name="_Toc54530587"/>
      <w:bookmarkStart w:id="93" w:name="_Toc57573238"/>
      <w:r w:rsidRPr="006C69B9">
        <w:rPr>
          <w:rFonts w:ascii="Calibri" w:eastAsia="Calibri" w:hAnsi="Calibri" w:cs="Times New Roman"/>
          <w:b/>
          <w:bCs/>
          <w:iCs/>
          <w:color w:val="31849B"/>
          <w:sz w:val="24"/>
          <w:szCs w:val="28"/>
          <w:lang w:eastAsia="hr-HR"/>
        </w:rPr>
        <w:t>Biološka raznolikost i zaštićena područja</w:t>
      </w:r>
      <w:bookmarkEnd w:id="92"/>
      <w:bookmarkEnd w:id="93"/>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Velika heterogenost prostora, očuvanost i raznovrsnost kopnenih i vodenih staništa, specifična geološka prošlost te raznovrsnost reljefnih oblika i klimatskih čimbenika uvjetovali su visok stupanj </w:t>
      </w:r>
      <w:r w:rsidRPr="006C69B9">
        <w:rPr>
          <w:rFonts w:ascii="Calibri" w:eastAsia="Calibri" w:hAnsi="Calibri" w:cs="Times New Roman"/>
          <w:lang w:val="bs-Latn-BA"/>
        </w:rPr>
        <w:lastRenderedPageBreak/>
        <w:t xml:space="preserve">biološke raznolikosti na području HNŽ-a. </w:t>
      </w:r>
      <w:r w:rsidRPr="006C69B9">
        <w:rPr>
          <w:rFonts w:ascii="Calibri" w:eastAsia="Calibri" w:hAnsi="Calibri" w:cs="Times New Roman"/>
          <w:b/>
          <w:lang w:val="bs-Latn-BA"/>
        </w:rPr>
        <w:t>Specifičnost florističkih elemenata</w:t>
      </w:r>
      <w:r w:rsidRPr="006C69B9">
        <w:rPr>
          <w:rFonts w:ascii="Calibri" w:eastAsia="Calibri" w:hAnsi="Calibri" w:cs="Times New Roman"/>
          <w:lang w:val="bs-Latn-BA"/>
        </w:rPr>
        <w:t xml:space="preserve"> ovog područja uvjetovana je prijelazom iz Mediteranske regije u brdsko-planinsko područje, što rezultira velikom raznolikosti biljaka na relativno malom prostoru. Visoke planine poput Prenja, Čvrsnice i Veleža, kao i krške livade, močvarna i vlažna staništa te kanjoni rijeka u HNŽ-u staništa su brojnim endemičnim, ugroženim, rijetkim i reliktnim vrstama te veliko prirodno bogatstvo ovog područja. Posebna osobitost Županije su i stenoendemske vrste koje nastanjuju isključivo dolomitni kompleks Vrtaljica: tercijarni relikt melendorfova žumenica (</w:t>
      </w:r>
      <w:r w:rsidRPr="006C69B9">
        <w:rPr>
          <w:rFonts w:ascii="Calibri" w:eastAsia="Calibri" w:hAnsi="Calibri" w:cs="Times New Roman"/>
          <w:i/>
          <w:lang w:val="bs-Latn-BA"/>
        </w:rPr>
        <w:t xml:space="preserve">Alyssum moellendorffianum </w:t>
      </w:r>
      <w:r w:rsidRPr="006C69B9">
        <w:rPr>
          <w:rFonts w:ascii="Calibri" w:eastAsia="Calibri" w:hAnsi="Calibri" w:cs="Times New Roman"/>
          <w:lang w:val="bs-Latn-BA"/>
        </w:rPr>
        <w:t>Asch. Ex Beck) te konjički vrljičak (</w:t>
      </w:r>
      <w:r w:rsidRPr="006C69B9">
        <w:rPr>
          <w:rFonts w:ascii="Calibri" w:eastAsia="Calibri" w:hAnsi="Calibri" w:cs="Times New Roman"/>
          <w:i/>
          <w:lang w:val="bs-Latn-BA"/>
        </w:rPr>
        <w:t>Clinopodium alpinum</w:t>
      </w:r>
      <w:r w:rsidRPr="006C69B9">
        <w:rPr>
          <w:rFonts w:ascii="Calibri" w:eastAsia="Calibri" w:hAnsi="Calibri" w:cs="Times New Roman"/>
          <w:lang w:val="bs-Latn-BA"/>
        </w:rPr>
        <w:t xml:space="preserve"> subsp. </w:t>
      </w:r>
      <w:r w:rsidRPr="006C69B9">
        <w:rPr>
          <w:rFonts w:ascii="Calibri" w:eastAsia="Calibri" w:hAnsi="Calibri" w:cs="Times New Roman"/>
          <w:i/>
          <w:lang w:val="bs-Latn-BA"/>
        </w:rPr>
        <w:t>orontium</w:t>
      </w:r>
      <w:r w:rsidRPr="006C69B9">
        <w:rPr>
          <w:rFonts w:ascii="Calibri" w:eastAsia="Calibri" w:hAnsi="Calibri" w:cs="Times New Roman"/>
          <w:lang w:val="bs-Latn-BA"/>
        </w:rPr>
        <w:t xml:space="preserve"> (K. Malý) Govaerts), kao i endemske vrste poput hercegovačkog zvončića (</w:t>
      </w:r>
      <w:r w:rsidRPr="006C69B9">
        <w:rPr>
          <w:rFonts w:ascii="Calibri" w:eastAsia="Calibri" w:hAnsi="Calibri" w:cs="Times New Roman"/>
          <w:i/>
          <w:lang w:val="bs-Latn-BA"/>
        </w:rPr>
        <w:t>Campanula hercegovina</w:t>
      </w:r>
      <w:r w:rsidRPr="006C69B9">
        <w:rPr>
          <w:rFonts w:ascii="Calibri" w:eastAsia="Calibri" w:hAnsi="Calibri" w:cs="Times New Roman"/>
          <w:lang w:val="bs-Latn-BA"/>
        </w:rPr>
        <w:t xml:space="preserve"> Degen i Fiala), Handel-Macetijeve mišjakinjice (</w:t>
      </w:r>
      <w:r w:rsidRPr="006C69B9">
        <w:rPr>
          <w:rFonts w:ascii="Calibri" w:eastAsia="Calibri" w:hAnsi="Calibri" w:cs="Times New Roman"/>
          <w:i/>
          <w:lang w:val="bs-Latn-BA"/>
        </w:rPr>
        <w:t xml:space="preserve">Minuartia handelii </w:t>
      </w:r>
      <w:r w:rsidRPr="006C69B9">
        <w:rPr>
          <w:rFonts w:ascii="Calibri" w:eastAsia="Calibri" w:hAnsi="Calibri" w:cs="Times New Roman"/>
          <w:lang w:val="bs-Latn-BA"/>
        </w:rPr>
        <w:t>Mattfeld), hercegovačke lazarkinje (</w:t>
      </w:r>
      <w:r w:rsidRPr="006C69B9">
        <w:rPr>
          <w:rFonts w:ascii="Calibri" w:eastAsia="Calibri" w:hAnsi="Calibri" w:cs="Times New Roman"/>
          <w:i/>
          <w:lang w:val="bs-Latn-BA"/>
        </w:rPr>
        <w:t>Asperula hercegovina</w:t>
      </w:r>
      <w:r w:rsidRPr="006C69B9">
        <w:rPr>
          <w:rFonts w:ascii="Calibri" w:eastAsia="Calibri" w:hAnsi="Calibri" w:cs="Times New Roman"/>
          <w:lang w:val="bs-Latn-BA"/>
        </w:rPr>
        <w:t xml:space="preserve"> Degen) i brojnih drugih. Specifični mediteranski floristički elementi uvjetovali su uspostavu specijalnog botaničkog rezervata Mediteraneum sedamdesetih godina prošloga stoljeća, koji prolazi postupak revizije i zaštite.</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Za područje HNŽ-a značajna je vrlo raznovrsna </w:t>
      </w:r>
      <w:r w:rsidRPr="006C69B9">
        <w:rPr>
          <w:rFonts w:ascii="Calibri" w:eastAsia="Calibri" w:hAnsi="Calibri" w:cs="Times New Roman"/>
          <w:b/>
          <w:lang w:val="bs-Latn-BA"/>
        </w:rPr>
        <w:t>šumska vegetacija</w:t>
      </w:r>
      <w:r w:rsidRPr="006C69B9">
        <w:rPr>
          <w:rFonts w:ascii="Calibri" w:eastAsia="Calibri" w:hAnsi="Calibri" w:cs="Times New Roman"/>
          <w:lang w:val="bs-Latn-BA"/>
        </w:rPr>
        <w:t xml:space="preserve">, koja je u najnižim području, uz riječne tokove, predstavljena aluvijalnim šumama crne johe (sveze </w:t>
      </w:r>
      <w:r w:rsidRPr="006C69B9">
        <w:rPr>
          <w:rFonts w:ascii="Calibri" w:eastAsia="Calibri" w:hAnsi="Calibri" w:cs="Times New Roman"/>
          <w:i/>
          <w:lang w:val="bs-Latn-BA"/>
        </w:rPr>
        <w:t>Alnion glutinosae</w:t>
      </w:r>
      <w:r w:rsidRPr="006C69B9">
        <w:rPr>
          <w:rFonts w:ascii="Calibri" w:eastAsia="Calibri" w:hAnsi="Calibri" w:cs="Times New Roman"/>
          <w:lang w:val="bs-Latn-BA"/>
        </w:rPr>
        <w:t xml:space="preserve">). U nižim kontinentalnim područjima zastupljene su hrastove šume (sveza </w:t>
      </w:r>
      <w:r w:rsidRPr="006C69B9">
        <w:rPr>
          <w:rFonts w:ascii="Calibri" w:eastAsia="Calibri" w:hAnsi="Calibri" w:cs="Times New Roman"/>
          <w:i/>
          <w:lang w:val="bs-Latn-BA"/>
        </w:rPr>
        <w:t>Ostryo-Carpinion orientalis</w:t>
      </w:r>
      <w:r w:rsidRPr="006C69B9">
        <w:rPr>
          <w:rFonts w:ascii="Calibri" w:eastAsia="Calibri" w:hAnsi="Calibri" w:cs="Times New Roman"/>
          <w:lang w:val="bs-Latn-BA"/>
        </w:rPr>
        <w:t>), dok se u višim područjima javljaju sastojine bukve (</w:t>
      </w:r>
      <w:r w:rsidRPr="006C69B9">
        <w:rPr>
          <w:rFonts w:ascii="Calibri" w:eastAsia="Calibri" w:hAnsi="Calibri" w:cs="Times New Roman"/>
          <w:i/>
          <w:lang w:val="bs-Latn-BA"/>
        </w:rPr>
        <w:t>sveza Aremonio-Fagion</w:t>
      </w:r>
      <w:r w:rsidRPr="006C69B9">
        <w:rPr>
          <w:rFonts w:ascii="Calibri" w:eastAsia="Calibri" w:hAnsi="Calibri" w:cs="Times New Roman"/>
          <w:lang w:val="bs-Latn-BA"/>
        </w:rPr>
        <w:t xml:space="preserve">). Na područjima sa submediteranskim utjecajima najvećim dijelom su zastupljeni različiti degradacijski stadiji niskih šuma. Šumsku vegetaciju ovog područja čine hrastove šume s degradiranim šumskim zajednicama </w:t>
      </w:r>
      <w:r w:rsidRPr="006C69B9">
        <w:rPr>
          <w:rFonts w:ascii="Calibri" w:eastAsia="Calibri" w:hAnsi="Calibri" w:cs="Times New Roman"/>
          <w:i/>
          <w:lang w:val="bs-Latn-BA"/>
        </w:rPr>
        <w:t>Querco-Carpinetum orientalis</w:t>
      </w:r>
      <w:r w:rsidRPr="006C69B9">
        <w:rPr>
          <w:rFonts w:ascii="Calibri" w:eastAsia="Calibri" w:hAnsi="Calibri" w:cs="Times New Roman"/>
          <w:lang w:val="bs-Latn-BA"/>
        </w:rPr>
        <w:t xml:space="preserve"> i </w:t>
      </w:r>
      <w:r w:rsidRPr="006C69B9">
        <w:rPr>
          <w:rFonts w:ascii="Calibri" w:eastAsia="Calibri" w:hAnsi="Calibri" w:cs="Times New Roman"/>
          <w:i/>
          <w:lang w:val="bs-Latn-BA"/>
        </w:rPr>
        <w:t>Ostryo-Quercetum pubescentis</w:t>
      </w:r>
      <w:r w:rsidRPr="006C69B9">
        <w:rPr>
          <w:rFonts w:ascii="Calibri" w:eastAsia="Calibri" w:hAnsi="Calibri" w:cs="Times New Roman"/>
          <w:lang w:val="bs-Latn-BA"/>
        </w:rPr>
        <w:t xml:space="preserve">, dok zonu bukovih šuma čine zajednice </w:t>
      </w:r>
      <w:r w:rsidRPr="006C69B9">
        <w:rPr>
          <w:rFonts w:ascii="Calibri" w:eastAsia="Calibri" w:hAnsi="Calibri" w:cs="Times New Roman"/>
          <w:i/>
          <w:lang w:val="bs-Latn-BA"/>
        </w:rPr>
        <w:t>Seslerio-Fagetum</w:t>
      </w:r>
      <w:r w:rsidRPr="006C69B9">
        <w:rPr>
          <w:rFonts w:ascii="Calibri" w:eastAsia="Calibri" w:hAnsi="Calibri" w:cs="Times New Roman"/>
          <w:lang w:val="bs-Latn-BA"/>
        </w:rPr>
        <w:t xml:space="preserve">.  Na višim nadmorskim visinama javljaju se šume crnog bora (zajednica </w:t>
      </w:r>
      <w:r w:rsidRPr="006C69B9">
        <w:rPr>
          <w:rFonts w:ascii="Calibri" w:eastAsia="Calibri" w:hAnsi="Calibri" w:cs="Times New Roman"/>
          <w:i/>
          <w:lang w:val="bs-Latn-BA"/>
        </w:rPr>
        <w:t>Ostryo-Pinetum nigrae</w:t>
      </w:r>
      <w:r w:rsidRPr="006C69B9">
        <w:rPr>
          <w:rFonts w:ascii="Calibri" w:eastAsia="Calibri" w:hAnsi="Calibri" w:cs="Times New Roman"/>
          <w:lang w:val="bs-Latn-BA"/>
        </w:rPr>
        <w:t>), a posebnu specifičnost ovom području daju reliktne mediteransko-montane šume munike (</w:t>
      </w:r>
      <w:r w:rsidRPr="006C69B9">
        <w:rPr>
          <w:rFonts w:ascii="Calibri" w:eastAsia="Calibri" w:hAnsi="Calibri" w:cs="Times New Roman"/>
          <w:i/>
          <w:lang w:val="bs-Latn-BA"/>
        </w:rPr>
        <w:t xml:space="preserve">Pinus heldreichii </w:t>
      </w:r>
      <w:r w:rsidRPr="006C69B9">
        <w:rPr>
          <w:rFonts w:ascii="Calibri" w:eastAsia="Calibri" w:hAnsi="Calibri" w:cs="Times New Roman"/>
          <w:lang w:val="bs-Latn-BA"/>
        </w:rPr>
        <w:t xml:space="preserve">Christ). Osobitu prirodnu vrijednost imaju šume na području Općine Konjic. Zbog velike biološke raznolikosti, kao i brojnih endemskih i reliktnih vrsta dolomitni kompleks Vrtaljica je bio zaštićen u svojstvu Specijalnog botaničkog rezervata.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S obzirom na </w:t>
      </w:r>
      <w:r w:rsidRPr="006C69B9">
        <w:rPr>
          <w:rFonts w:ascii="Calibri" w:eastAsia="Calibri" w:hAnsi="Calibri" w:cs="Times New Roman"/>
          <w:b/>
          <w:lang w:val="bs-Latn-BA"/>
        </w:rPr>
        <w:t>faunističke elemente</w:t>
      </w:r>
      <w:r w:rsidRPr="006C69B9">
        <w:rPr>
          <w:rFonts w:ascii="Calibri" w:eastAsia="Calibri" w:hAnsi="Calibri" w:cs="Times New Roman"/>
          <w:lang w:val="bs-Latn-BA"/>
        </w:rPr>
        <w:t xml:space="preserve"> područje Hercegovačko-neretvanske županije vrlo je specifično i vrijedno. Osobit značaj ovom području daju brojne endemske i rijetke vrste, koje su na Crvenoj listi divljih vrsta i podvrsta biljaka, gljiva i životinja u Federaciji BiH (Službene novine F BiH, br. 7/14) ili vrste od međunarodnog značaja obuhvaćene Crvenom listom IUCN-a te dodacima Direktiva o staništima i pticama (92/43/EEZ; 79/409/EEZ i 2009/147/EZ). Među njima posebno treba izdvojiti podzemnu faunu Vjetrenice, među kojima je i 41 tipska vrsta (</w:t>
      </w:r>
      <w:r w:rsidRPr="006C69B9">
        <w:rPr>
          <w:rFonts w:ascii="Calibri" w:eastAsia="Calibri" w:hAnsi="Calibri" w:cs="Times New Roman"/>
          <w:i/>
          <w:lang w:val="bs-Latn-BA"/>
        </w:rPr>
        <w:t>locus typicus</w:t>
      </w:r>
      <w:r w:rsidRPr="006C69B9">
        <w:rPr>
          <w:rFonts w:ascii="Calibri" w:eastAsia="Calibri" w:hAnsi="Calibri" w:cs="Times New Roman"/>
          <w:lang w:val="bs-Latn-BA"/>
        </w:rPr>
        <w:t xml:space="preserve">) kao i specifičnu endemsku ili ugroženu faunu vodenih beskralješnjaka (primjerice: </w:t>
      </w:r>
      <w:r w:rsidRPr="006C69B9">
        <w:rPr>
          <w:rFonts w:ascii="Calibri" w:eastAsia="Calibri" w:hAnsi="Calibri" w:cs="Times New Roman"/>
          <w:i/>
          <w:lang w:val="bs-Latn-BA"/>
        </w:rPr>
        <w:t>Glossosoma neretvae</w:t>
      </w:r>
      <w:r w:rsidRPr="006C69B9">
        <w:rPr>
          <w:rFonts w:ascii="Calibri" w:eastAsia="Calibri" w:hAnsi="Calibri" w:cs="Times New Roman"/>
          <w:lang w:val="bs-Latn-BA"/>
        </w:rPr>
        <w:t xml:space="preserve"> Marinković, 1988; </w:t>
      </w:r>
      <w:r w:rsidRPr="006C69B9">
        <w:rPr>
          <w:rFonts w:ascii="Calibri" w:eastAsia="Calibri" w:hAnsi="Calibri" w:cs="Times New Roman"/>
          <w:i/>
          <w:lang w:val="bs-Latn-BA"/>
        </w:rPr>
        <w:t>Glossosoma bunae</w:t>
      </w:r>
      <w:r w:rsidRPr="006C69B9">
        <w:rPr>
          <w:rFonts w:ascii="Calibri" w:eastAsia="Calibri" w:hAnsi="Calibri" w:cs="Times New Roman"/>
          <w:lang w:val="bs-Latn-BA"/>
        </w:rPr>
        <w:t xml:space="preserve"> Marinković, 1988; </w:t>
      </w:r>
      <w:r w:rsidRPr="006C69B9">
        <w:rPr>
          <w:rFonts w:ascii="Calibri" w:eastAsia="Calibri" w:hAnsi="Calibri" w:cs="Times New Roman"/>
          <w:i/>
          <w:lang w:val="bs-Latn-BA"/>
        </w:rPr>
        <w:t>Hydropsyche smiljae</w:t>
      </w:r>
      <w:r w:rsidRPr="006C69B9">
        <w:rPr>
          <w:rFonts w:ascii="Calibri" w:eastAsia="Calibri" w:hAnsi="Calibri" w:cs="Times New Roman"/>
          <w:lang w:val="bs-Latn-BA"/>
        </w:rPr>
        <w:t xml:space="preserve"> Marinković, 1979; </w:t>
      </w:r>
      <w:r w:rsidRPr="006C69B9">
        <w:rPr>
          <w:rFonts w:ascii="Calibri" w:eastAsia="Calibri" w:hAnsi="Calibri" w:cs="Times New Roman"/>
          <w:i/>
          <w:lang w:val="bs-Latn-BA"/>
        </w:rPr>
        <w:t>Austropotamobius pallipes</w:t>
      </w:r>
      <w:r w:rsidRPr="006C69B9">
        <w:rPr>
          <w:rFonts w:ascii="Calibri" w:eastAsia="Calibri" w:hAnsi="Calibri" w:cs="Times New Roman"/>
          <w:lang w:val="bs-Latn-BA"/>
        </w:rPr>
        <w:t xml:space="preserve"> (Lereboullet, 1858) i dr.). Područje HNŽ-a vrlo je zanimljivo s ihtiološkog stajališta, prvenstveno zbog brojnih endemskih vrsta koje nastanjuju ovo područje, poput: mekousne pastrve (</w:t>
      </w:r>
      <w:r w:rsidRPr="006C69B9">
        <w:rPr>
          <w:rFonts w:ascii="Calibri" w:eastAsia="Calibri" w:hAnsi="Calibri" w:cs="Times New Roman"/>
          <w:i/>
          <w:lang w:val="bs-Latn-BA"/>
        </w:rPr>
        <w:t>Salmo obtusirostris</w:t>
      </w:r>
      <w:r w:rsidRPr="006C69B9">
        <w:rPr>
          <w:rFonts w:ascii="Calibri" w:eastAsia="Calibri" w:hAnsi="Calibri" w:cs="Times New Roman"/>
          <w:lang w:val="bs-Latn-BA"/>
        </w:rPr>
        <w:t xml:space="preserve"> (Heckel, 1851)), neretvanskog vijuna (</w:t>
      </w:r>
      <w:r w:rsidRPr="006C69B9">
        <w:rPr>
          <w:rFonts w:ascii="Calibri" w:eastAsia="Calibri" w:hAnsi="Calibri" w:cs="Times New Roman"/>
          <w:i/>
          <w:lang w:val="bs-Latn-BA"/>
        </w:rPr>
        <w:t>Cobitis narentana</w:t>
      </w:r>
      <w:r w:rsidRPr="006C69B9">
        <w:rPr>
          <w:rFonts w:ascii="Calibri" w:eastAsia="Calibri" w:hAnsi="Calibri" w:cs="Times New Roman"/>
          <w:lang w:val="bs-Latn-BA"/>
        </w:rPr>
        <w:t xml:space="preserve"> (Karaman, 1928)), peškelja (</w:t>
      </w:r>
      <w:r w:rsidRPr="006C69B9">
        <w:rPr>
          <w:rFonts w:ascii="Calibri" w:eastAsia="Calibri" w:hAnsi="Calibri" w:cs="Times New Roman"/>
          <w:i/>
          <w:lang w:val="bs-Latn-BA"/>
        </w:rPr>
        <w:t>Scardinius plotizza</w:t>
      </w:r>
      <w:r w:rsidRPr="006C69B9">
        <w:rPr>
          <w:rFonts w:ascii="Calibri" w:eastAsia="Calibri" w:hAnsi="Calibri" w:cs="Times New Roman"/>
          <w:lang w:val="bs-Latn-BA"/>
        </w:rPr>
        <w:t xml:space="preserve"> (Heckel i Kner, 1858)), podustve (</w:t>
      </w:r>
      <w:r w:rsidRPr="006C69B9">
        <w:rPr>
          <w:rFonts w:ascii="Calibri" w:eastAsia="Calibri" w:hAnsi="Calibri" w:cs="Times New Roman"/>
          <w:i/>
          <w:lang w:val="bs-Latn-BA"/>
        </w:rPr>
        <w:t>Chondrostoma knerii</w:t>
      </w:r>
      <w:r w:rsidRPr="006C69B9">
        <w:rPr>
          <w:rFonts w:ascii="Calibri" w:eastAsia="Calibri" w:hAnsi="Calibri" w:cs="Times New Roman"/>
          <w:lang w:val="bs-Latn-BA"/>
        </w:rPr>
        <w:t xml:space="preserve"> Heckel, 1843), vrgoračke gobice (</w:t>
      </w:r>
      <w:r w:rsidRPr="006C69B9">
        <w:rPr>
          <w:rFonts w:ascii="Calibri" w:eastAsia="Calibri" w:hAnsi="Calibri" w:cs="Times New Roman"/>
          <w:i/>
          <w:lang w:val="bs-Latn-BA"/>
        </w:rPr>
        <w:t>Knipowitschia croatica</w:t>
      </w:r>
      <w:r w:rsidRPr="006C69B9">
        <w:rPr>
          <w:rFonts w:ascii="Calibri" w:eastAsia="Calibri" w:hAnsi="Calibri" w:cs="Times New Roman"/>
          <w:lang w:val="bs-Latn-BA"/>
        </w:rPr>
        <w:t xml:space="preserve"> Mrakovčić et al., 1994), zubatka (</w:t>
      </w:r>
      <w:r w:rsidRPr="006C69B9">
        <w:rPr>
          <w:rFonts w:ascii="Calibri" w:eastAsia="Calibri" w:hAnsi="Calibri" w:cs="Times New Roman"/>
          <w:i/>
          <w:lang w:val="bs-Latn-BA"/>
        </w:rPr>
        <w:t>Salmo marmoratus f. dentex</w:t>
      </w:r>
      <w:r w:rsidRPr="006C69B9">
        <w:rPr>
          <w:rFonts w:ascii="Calibri" w:eastAsia="Calibri" w:hAnsi="Calibri" w:cs="Times New Roman"/>
          <w:lang w:val="bs-Latn-BA"/>
        </w:rPr>
        <w:t xml:space="preserve"> (Heckel, 1852)) i dr. Ribe su vrlo osjetljive na promjene okolišnih čimbenika te su onečišćenje, regulacija vodotoka, i degradacija staništa česti uzroci smanjenja njihovih populacija. Najveći utjecaj na riblje zajednice ovog područja ima unos stranih (alohtonih) vrsta u vodotoke, koje mogu biti invazivne te postupno potiskivati primarne autohtone vrste. Rezultati monitoringa ihtiofaune u HNŽ-u u razdoblju od 205. do 2019. godine ukazuju na relativno stabilne populacije riba u tekućicama i stajaćicama ovog područja, koje prema sastavu zajednica pripadaju pastrvskim (salmonidnim) i šaranskim (ciprinidnim) vodama. Međutim, u pojedinim vodnim tijelima utvrđene su i </w:t>
      </w:r>
      <w:r w:rsidRPr="006C69B9">
        <w:rPr>
          <w:rFonts w:ascii="Calibri" w:eastAsia="Calibri" w:hAnsi="Calibri" w:cs="Times New Roman"/>
          <w:b/>
          <w:lang w:val="bs-Latn-BA"/>
        </w:rPr>
        <w:t>alohtone, među kojima su i invazivne vrste</w:t>
      </w:r>
      <w:r w:rsidRPr="006C69B9">
        <w:rPr>
          <w:rFonts w:ascii="Calibri" w:eastAsia="Calibri" w:hAnsi="Calibri" w:cs="Times New Roman"/>
          <w:lang w:val="bs-Latn-BA"/>
        </w:rPr>
        <w:t xml:space="preserve">, a čije povećanje brojnosti može potencijalno negativno </w:t>
      </w:r>
      <w:r w:rsidRPr="006C69B9">
        <w:rPr>
          <w:rFonts w:ascii="Calibri" w:eastAsia="Calibri" w:hAnsi="Calibri" w:cs="Times New Roman"/>
          <w:lang w:val="bs-Latn-BA"/>
        </w:rPr>
        <w:lastRenderedPageBreak/>
        <w:t>utjecati na autohtonu faunu. Također, u donjem dijelu toka Neretve zabilježena je pojava morskih vrsta riba, što ukazuje na utjecaj morske vode tijekom ljetnog razdoblja. Istraživanja provedena tijekom 2017. i 2018. godine pokazala su izvrsno stanje morskih ribljih zajednica u Neumskom zaljevu.</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Biološka raznolikost HNŽ-a iznimno je bogata i u pogledu ornitofaune i sisavaca. Ornitofauna je naročito raznolika na području Hutovog blata, koju prema dostupnim podacima 163 vrste ptica te je ramsarsko područje (površina 7.400 ha) zaštićeno u kategoriji parka prirode, a obuhvaćeno je i IBA programom (područja važna za ptice). Osim Hutovog blata IBA područje u Županiji je i Boračko jezero. Na području HNŽ-a prema dostupnim podacima zastupljene su stabilne populacije smeđeg medvjeda (</w:t>
      </w:r>
      <w:r w:rsidRPr="006C69B9">
        <w:rPr>
          <w:rFonts w:ascii="Calibri" w:eastAsia="Calibri" w:hAnsi="Calibri" w:cs="Times New Roman"/>
          <w:i/>
          <w:lang w:val="bs-Latn-BA"/>
        </w:rPr>
        <w:t xml:space="preserve">Ursus arctos </w:t>
      </w:r>
      <w:r w:rsidRPr="006C69B9">
        <w:rPr>
          <w:rFonts w:ascii="Calibri" w:eastAsia="Calibri" w:hAnsi="Calibri" w:cs="Times New Roman"/>
          <w:lang w:val="bs-Latn-BA"/>
        </w:rPr>
        <w:t>Linnaeus, 1758), vuka (</w:t>
      </w:r>
      <w:r w:rsidRPr="006C69B9">
        <w:rPr>
          <w:rFonts w:ascii="Calibri" w:eastAsia="Calibri" w:hAnsi="Calibri" w:cs="Times New Roman"/>
          <w:i/>
          <w:lang w:val="bs-Latn-BA"/>
        </w:rPr>
        <w:t xml:space="preserve">Canis lupus </w:t>
      </w:r>
      <w:r w:rsidRPr="006C69B9">
        <w:rPr>
          <w:rFonts w:ascii="Calibri" w:eastAsia="Calibri" w:hAnsi="Calibri" w:cs="Times New Roman"/>
          <w:lang w:val="bs-Latn-BA"/>
        </w:rPr>
        <w:t>Linnaeus, 1758), divokoze (</w:t>
      </w:r>
      <w:r w:rsidRPr="006C69B9">
        <w:rPr>
          <w:rFonts w:ascii="Calibri" w:eastAsia="Calibri" w:hAnsi="Calibri" w:cs="Times New Roman"/>
          <w:i/>
          <w:lang w:val="bs-Latn-BA"/>
        </w:rPr>
        <w:t>Rupicapra rupicapra</w:t>
      </w:r>
      <w:r w:rsidRPr="006C69B9">
        <w:rPr>
          <w:rFonts w:ascii="Calibri" w:eastAsia="Calibri" w:hAnsi="Calibri" w:cs="Times New Roman"/>
          <w:lang w:val="bs-Latn-BA"/>
        </w:rPr>
        <w:t xml:space="preserve"> (Linnaeus, 1758)), obične srne (</w:t>
      </w:r>
      <w:r w:rsidRPr="006C69B9">
        <w:rPr>
          <w:rFonts w:ascii="Calibri" w:eastAsia="Calibri" w:hAnsi="Calibri" w:cs="Times New Roman"/>
          <w:i/>
          <w:lang w:val="bs-Latn-BA"/>
        </w:rPr>
        <w:t>Capreolus capreolus</w:t>
      </w:r>
      <w:r w:rsidRPr="006C69B9">
        <w:rPr>
          <w:rFonts w:ascii="Calibri" w:eastAsia="Calibri" w:hAnsi="Calibri" w:cs="Times New Roman"/>
          <w:lang w:val="bs-Latn-BA"/>
        </w:rPr>
        <w:t xml:space="preserve"> Linnaeus, 1758), vrsta koje su klasificirane kao osjetljive ili ugrožene na Crvenoj listi F BiH, a također su vrste navedene u dodatku II Direktive o staništima.</w:t>
      </w:r>
    </w:p>
    <w:p w:rsidR="006C69B9" w:rsidRPr="006C69B9" w:rsidRDefault="006C69B9" w:rsidP="006C69B9">
      <w:pPr>
        <w:spacing w:after="100" w:line="276" w:lineRule="auto"/>
        <w:jc w:val="both"/>
        <w:rPr>
          <w:rFonts w:ascii="Calibri" w:eastAsia="Calibri" w:hAnsi="Calibri" w:cs="Times New Roman"/>
          <w:b/>
          <w:lang w:val="bs-Latn-BA"/>
        </w:rPr>
      </w:pPr>
      <w:r w:rsidRPr="006C69B9">
        <w:rPr>
          <w:rFonts w:ascii="Calibri" w:eastAsia="Calibri" w:hAnsi="Calibri" w:cs="Times New Roman"/>
          <w:lang w:val="bs-Latn-BA"/>
        </w:rPr>
        <w:t xml:space="preserve">Visok stupanj biološke i krajobrazne raznolikosti na području Hercegovačko-neretvanske županije/kantona uvjetovali su proglašenje niza zaštićenih prirodnih cjelina: parkova prirode (Hutovo blato i Blidinje), specijalnih rezervata (geološki - špilja Vjetrenica, botanički – Vrtaljica, Mediteraneum, ornitološki – Hutovo blato), spomenika prirode (Boračko jezero, vrelo Bunice, Bunski kanali, Hajdučka vrata, vodopad na rijeci Bregavi, vodopad Šištice, špilje Vrpeć, Tormonjača, Ševrljica i dr.), rezervata prirodnih predjela (vrelo Bune, kanjon Rakitnice između bjelašnice i Visočice, kanjon Neretve od Jablanice do Drežnice) te niza zaštićenih biljnih i životinjskih vrsta. </w:t>
      </w:r>
    </w:p>
    <w:p w:rsidR="006C69B9" w:rsidRPr="006C69B9" w:rsidRDefault="006C69B9" w:rsidP="006C69B9">
      <w:pPr>
        <w:keepNext/>
        <w:spacing w:before="240" w:after="60" w:line="240" w:lineRule="auto"/>
        <w:outlineLvl w:val="1"/>
        <w:rPr>
          <w:rFonts w:ascii="Calibri" w:eastAsia="Calibri" w:hAnsi="Calibri" w:cs="Calibri Light"/>
          <w:b/>
          <w:bCs/>
          <w:iCs/>
          <w:color w:val="31849B"/>
          <w:sz w:val="24"/>
          <w:szCs w:val="28"/>
          <w:lang w:eastAsia="hr-HR"/>
        </w:rPr>
      </w:pPr>
      <w:bookmarkStart w:id="94" w:name="_Toc54530588"/>
      <w:bookmarkStart w:id="95" w:name="_Toc57573239"/>
      <w:r w:rsidRPr="006C69B9">
        <w:rPr>
          <w:rFonts w:ascii="Calibri" w:eastAsia="Calibri" w:hAnsi="Calibri" w:cs="Calibri Light"/>
          <w:b/>
          <w:bCs/>
          <w:iCs/>
          <w:color w:val="31849B"/>
          <w:sz w:val="24"/>
          <w:szCs w:val="28"/>
          <w:lang w:eastAsia="hr-HR"/>
        </w:rPr>
        <w:t>Fizička infrastruktura</w:t>
      </w:r>
      <w:bookmarkEnd w:id="94"/>
      <w:bookmarkEnd w:id="95"/>
    </w:p>
    <w:p w:rsidR="006C69B9" w:rsidRPr="006C69B9" w:rsidRDefault="006C69B9" w:rsidP="006C69B9">
      <w:pPr>
        <w:spacing w:after="100" w:line="276" w:lineRule="auto"/>
        <w:rPr>
          <w:rFonts w:ascii="Calibri" w:eastAsia="Calibri" w:hAnsi="Calibri" w:cs="Times New Roman"/>
          <w:lang w:val="bs-Latn-BA"/>
        </w:rPr>
      </w:pPr>
    </w:p>
    <w:p w:rsidR="006C69B9" w:rsidRPr="006C69B9" w:rsidRDefault="006C69B9" w:rsidP="006C69B9">
      <w:pPr>
        <w:keepNext/>
        <w:spacing w:before="240" w:after="60" w:line="240" w:lineRule="auto"/>
        <w:outlineLvl w:val="2"/>
        <w:rPr>
          <w:rFonts w:ascii="Calibri" w:eastAsia="Calibri" w:hAnsi="Calibri" w:cs="Times New Roman"/>
          <w:b/>
          <w:bCs/>
          <w:color w:val="4BACC6"/>
          <w:szCs w:val="26"/>
          <w:lang w:val="bs-Latn-BA" w:eastAsia="hr-HR"/>
        </w:rPr>
      </w:pPr>
      <w:bookmarkStart w:id="96" w:name="_Toc54530589"/>
      <w:bookmarkStart w:id="97" w:name="_Toc57573240"/>
      <w:r w:rsidRPr="006C69B9">
        <w:rPr>
          <w:rFonts w:ascii="Calibri" w:eastAsia="Calibri" w:hAnsi="Calibri" w:cs="Times New Roman"/>
          <w:b/>
          <w:bCs/>
          <w:color w:val="4BACC6"/>
          <w:szCs w:val="26"/>
          <w:lang w:val="bs-Latn-BA" w:eastAsia="hr-HR"/>
        </w:rPr>
        <w:t>Komunalna infrastruktura</w:t>
      </w:r>
      <w:bookmarkEnd w:id="96"/>
      <w:bookmarkEnd w:id="97"/>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Na području Hercegovačko-neretvanske županije ovo područje je uređeno Zakonom o komunalnim djelatnostima</w:t>
      </w:r>
      <w:r w:rsidRPr="006C69B9">
        <w:rPr>
          <w:rFonts w:ascii="Calibri" w:eastAsia="Calibri" w:hAnsi="Calibri" w:cs="Times New Roman"/>
          <w:vertAlign w:val="superscript"/>
          <w:lang w:val="bs-Latn-BA"/>
        </w:rPr>
        <w:footnoteReference w:id="24"/>
      </w:r>
      <w:r w:rsidRPr="006C69B9">
        <w:rPr>
          <w:rFonts w:ascii="Calibri" w:eastAsia="Calibri" w:hAnsi="Calibri" w:cs="Times New Roman"/>
          <w:lang w:val="bs-Latn-BA"/>
        </w:rPr>
        <w:t xml:space="preserve">. Komunalnim djelatnostima u smislu ovog Zakona podrazumijevaju se usluge pružanja komunalnih usluga od interesa za fizičke i pravne osobe te financiranje komunalnih djelatnosti, izgradnja, korištenje, upravljanje i održavanje objekata komunalne infrastrukture kao cjelovitog sustava na području jedinica lokalne samouprave  (JLS) Županije i na području Županije. Prema Zakonu, gradovi i općine koje ulaze u sastav Županije osiguravaju obavljanje komunalnih djelatnosti po načelima održivog razvoja. Na području Županije djeluje više komunalnih poduzeća: </w:t>
      </w:r>
    </w:p>
    <w:p w:rsidR="006C69B9" w:rsidRPr="006C69B9" w:rsidRDefault="006C69B9" w:rsidP="00F85905">
      <w:pPr>
        <w:numPr>
          <w:ilvl w:val="0"/>
          <w:numId w:val="9"/>
        </w:numPr>
        <w:spacing w:after="100" w:line="276" w:lineRule="auto"/>
        <w:contextualSpacing/>
        <w:rPr>
          <w:rFonts w:ascii="Calibri" w:eastAsia="Calibri" w:hAnsi="Calibri" w:cs="Times New Roman"/>
          <w:lang w:val="bs-Latn-BA"/>
        </w:rPr>
      </w:pPr>
      <w:r w:rsidRPr="006C69B9">
        <w:rPr>
          <w:rFonts w:ascii="Calibri" w:eastAsia="Calibri" w:hAnsi="Calibri" w:cs="Times New Roman"/>
          <w:lang w:val="bs-Latn-BA"/>
        </w:rPr>
        <w:t>Grad Mostar - J.P. „Komunalno“ d.o.o, J.P. „Parkovi“ d.o.o., J.P. „Komos“ d.d.;</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Grad Čapljina – J.P. „Čapljina“ d.o.o.,</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Općina Čitluk – J.P. „Broćanac“ d.o.o.,</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Općina Jablanica – J.P. „Jablanica“ d.d.,</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Općina Konjic – J.P. „Standard“, d.o.o.</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Općina Neum – J.P. „Komunalno Neum“ d.o.o.,</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Općina Prozor-Rama – J.P. „Vodograd“ d.o.o.,</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Općina Ravno – J.P. „Popovo“ d.o.o.,</w:t>
      </w:r>
    </w:p>
    <w:p w:rsidR="006C69B9" w:rsidRPr="006C69B9" w:rsidRDefault="006C69B9" w:rsidP="00F85905">
      <w:pPr>
        <w:numPr>
          <w:ilvl w:val="0"/>
          <w:numId w:val="9"/>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Općina Stolac – J.P. „Komunalno“ d.o.o.</w:t>
      </w:r>
    </w:p>
    <w:p w:rsidR="006C69B9" w:rsidRPr="006C69B9" w:rsidRDefault="006C69B9" w:rsidP="006C69B9">
      <w:pPr>
        <w:spacing w:after="100" w:line="276" w:lineRule="auto"/>
        <w:ind w:left="360"/>
        <w:jc w:val="both"/>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b/>
          <w:lang w:val="bs-Latn-BA"/>
        </w:rPr>
        <w:t>Vodoopskrba.</w:t>
      </w:r>
      <w:r w:rsidRPr="006C69B9">
        <w:rPr>
          <w:rFonts w:ascii="Calibri" w:eastAsia="Calibri" w:hAnsi="Calibri" w:cs="Times New Roman"/>
          <w:lang w:val="bs-Latn-BA"/>
        </w:rPr>
        <w:t xml:space="preserve"> Hercegovačko-neretvanska županija ima značajne resurse pitke vode. Ukupna raspoloživa količina pitke vode u HNŽ-u procjenjuje se na 6.795 m</w:t>
      </w:r>
      <w:r w:rsidRPr="006C69B9">
        <w:rPr>
          <w:rFonts w:ascii="Calibri" w:eastAsia="Calibri" w:hAnsi="Calibri" w:cs="Times New Roman"/>
          <w:vertAlign w:val="superscript"/>
          <w:lang w:val="bs-Latn-BA"/>
        </w:rPr>
        <w:t>3</w:t>
      </w:r>
      <w:r w:rsidRPr="006C69B9">
        <w:rPr>
          <w:rFonts w:ascii="Calibri" w:eastAsia="Calibri" w:hAnsi="Calibri" w:cs="Times New Roman"/>
          <w:lang w:val="bs-Latn-BA"/>
        </w:rPr>
        <w:t xml:space="preserve">/s, što je oko 21,4% ukupno </w:t>
      </w:r>
      <w:r w:rsidRPr="006C69B9">
        <w:rPr>
          <w:rFonts w:ascii="Calibri" w:eastAsia="Calibri" w:hAnsi="Calibri" w:cs="Times New Roman"/>
          <w:lang w:val="bs-Latn-BA"/>
        </w:rPr>
        <w:lastRenderedPageBreak/>
        <w:t>raspoložive vode za piće u Federaciji BiH. Prema zalihama pitke vode u Županiji, ako bi se one ravnomjerno rasporedile na broj stanovnika u HNŽ-u, dnevno bi po stanovniku bilo raspoloživo oko 2.550 l, dakle oko 8,5 puta više u odnosu na minimalno potrebnih 300 l/stan./dan</w:t>
      </w:r>
      <w:r w:rsidRPr="006C69B9">
        <w:rPr>
          <w:rFonts w:ascii="Calibri" w:eastAsia="Calibri" w:hAnsi="Calibri" w:cs="Times New Roman"/>
          <w:vertAlign w:val="superscript"/>
          <w:lang w:val="bs-Latn-BA"/>
        </w:rPr>
        <w:footnoteReference w:id="25"/>
      </w:r>
      <w:r w:rsidRPr="006C69B9">
        <w:rPr>
          <w:rFonts w:ascii="Calibri" w:eastAsia="Calibri" w:hAnsi="Calibri" w:cs="Times New Roman"/>
          <w:lang w:val="bs-Latn-BA"/>
        </w:rPr>
        <w:t>. Procjenjuje se da od ukupne količine isporučene vode, 70% čini potrošnja vode u kućanstvima, dok se veći industrijski objekti najčešće opskrbljuju iz vlastitih izvora.</w:t>
      </w:r>
      <w:r w:rsidRPr="006C69B9">
        <w:rPr>
          <w:rFonts w:ascii="Calibri" w:eastAsia="Calibri" w:hAnsi="Calibri" w:cs="Times New Roman"/>
          <w:vertAlign w:val="superscript"/>
          <w:lang w:val="bs-Latn-BA"/>
        </w:rPr>
        <w:footnoteReference w:id="26"/>
      </w:r>
      <w:r w:rsidRPr="006C69B9">
        <w:rPr>
          <w:rFonts w:ascii="Calibri" w:eastAsia="Calibri" w:hAnsi="Calibri" w:cs="Times New Roman"/>
          <w:lang w:val="bs-Latn-BA"/>
        </w:rPr>
        <w:t xml:space="preserve"> </w:t>
      </w:r>
      <w:r w:rsidRPr="006C69B9">
        <w:rPr>
          <w:rFonts w:ascii="Calibri" w:eastAsia="Calibri" w:hAnsi="Calibri" w:cs="Times New Roman"/>
          <w:color w:val="000000"/>
          <w:lang w:val="bs-Latn-BA"/>
        </w:rPr>
        <w:t>Za vodoopskrbu se koristi uglavnom voda dobre kakvoće, iz vrela i izvora te podzemne vode</w:t>
      </w:r>
      <w:r w:rsidRPr="006C69B9">
        <w:rPr>
          <w:rFonts w:ascii="Calibri" w:eastAsia="Calibri" w:hAnsi="Calibri" w:cs="Times New Roman"/>
          <w:lang w:val="bs-Latn-BA"/>
        </w:rPr>
        <w:t>, osobito vode iz intergranularnih sredina za koje je značajna sposobnost autopurifikacije (samopročišćavanja), tako da se provodi samo njihova dezinfekcija. Prema rezultatima monitoringa izvorišta i podzemnih voda koje se koriste u vodoopskrbi na području HNŽ-a samo za izvorište Gabela utvrđeno je loše stanje zbog visokog sadržaja klorida (uslijed zaslanjenja). Ostala izvorišta i vodocrpilišta imaju dobro kemijsko stanje.</w:t>
      </w:r>
    </w:p>
    <w:p w:rsidR="006C69B9" w:rsidRPr="006C69B9" w:rsidRDefault="006C69B9" w:rsidP="006C69B9">
      <w:pPr>
        <w:rPr>
          <w:rFonts w:ascii="Calibri" w:eastAsia="Calibri" w:hAnsi="Calibri" w:cs="Times New Roman"/>
          <w:lang w:eastAsia="hr-HR"/>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78. Rezultati monitoringa izvorišta i podzemnih voda u razdoblju 2016.-2018</w:t>
      </w:r>
    </w:p>
    <w:tbl>
      <w:tblPr>
        <w:tblStyle w:val="MediumGrid3-Accent51"/>
        <w:tblW w:w="0" w:type="auto"/>
        <w:jc w:val="center"/>
        <w:tblLook w:val="04A0"/>
      </w:tblPr>
      <w:tblGrid>
        <w:gridCol w:w="2076"/>
        <w:gridCol w:w="1880"/>
        <w:gridCol w:w="960"/>
        <w:gridCol w:w="960"/>
        <w:gridCol w:w="960"/>
      </w:tblGrid>
      <w:tr w:rsidR="006C69B9" w:rsidRPr="006C69B9" w:rsidTr="006C69B9">
        <w:trPr>
          <w:cnfStyle w:val="100000000000"/>
          <w:trHeight w:val="54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rPr>
            </w:pPr>
            <w:r w:rsidRPr="006C69B9">
              <w:rPr>
                <w:rFonts w:ascii="Calibri" w:eastAsia="Calibri" w:hAnsi="Calibri" w:cs="Times New Roman"/>
                <w:sz w:val="20"/>
                <w:szCs w:val="20"/>
                <w:lang w:val="bs-Latn-BA"/>
              </w:rPr>
              <w:t>Grad</w:t>
            </w:r>
          </w:p>
        </w:tc>
        <w:tc>
          <w:tcPr>
            <w:tcW w:w="1880" w:type="dxa"/>
            <w:hideMark/>
          </w:tcPr>
          <w:p w:rsidR="006C69B9" w:rsidRPr="006C69B9" w:rsidRDefault="006C69B9" w:rsidP="006C69B9">
            <w:pPr>
              <w:spacing w:after="100" w:line="276" w:lineRule="auto"/>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Naziv izvorišta/ vodocrpilišta</w:t>
            </w:r>
          </w:p>
        </w:tc>
        <w:tc>
          <w:tcPr>
            <w:tcW w:w="960" w:type="dxa"/>
            <w:noWrap/>
            <w:hideMark/>
          </w:tcPr>
          <w:p w:rsidR="006C69B9" w:rsidRPr="006C69B9" w:rsidRDefault="006C69B9" w:rsidP="006C69B9">
            <w:pPr>
              <w:spacing w:after="100" w:line="276" w:lineRule="auto"/>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960" w:type="dxa"/>
            <w:noWrap/>
            <w:hideMark/>
          </w:tcPr>
          <w:p w:rsidR="006C69B9" w:rsidRPr="006C69B9" w:rsidRDefault="006C69B9" w:rsidP="006C69B9">
            <w:pPr>
              <w:spacing w:after="100" w:line="276" w:lineRule="auto"/>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960" w:type="dxa"/>
            <w:noWrap/>
            <w:hideMark/>
          </w:tcPr>
          <w:p w:rsidR="006C69B9" w:rsidRPr="006C69B9" w:rsidRDefault="006C69B9" w:rsidP="006C69B9">
            <w:pPr>
              <w:spacing w:after="100" w:line="276" w:lineRule="auto"/>
              <w:jc w:val="both"/>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Čapljina</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Bjelave</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Čapljina</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Gabela</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loše</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loše</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loše</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Čitluk</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Biletić polje</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Jablanica</w:t>
            </w:r>
          </w:p>
        </w:tc>
        <w:tc>
          <w:tcPr>
            <w:tcW w:w="1880" w:type="dxa"/>
            <w:shd w:val="clear" w:color="auto" w:fill="DAEEF3"/>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Komadinovo vrelo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Jablanica</w:t>
            </w:r>
          </w:p>
        </w:tc>
        <w:tc>
          <w:tcPr>
            <w:tcW w:w="1880" w:type="dxa"/>
            <w:shd w:val="clear" w:color="auto" w:fill="DAEEF3"/>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Šanica</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Konjic</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Ljuta</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Arape mlin</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Bošnjaci</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Buna</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Bunica</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Jasenica</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Radobolja</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Salakovac</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Studenac</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Mostar</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Vrba</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p>
        </w:tc>
      </w:tr>
      <w:tr w:rsidR="006C69B9" w:rsidRPr="006C69B9" w:rsidTr="006C69B9">
        <w:trPr>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Neum</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Blace</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cnfStyle w:val="000000100000"/>
          <w:trHeight w:val="29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Prozor/Rama</w:t>
            </w:r>
          </w:p>
        </w:tc>
        <w:tc>
          <w:tcPr>
            <w:tcW w:w="188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Krupić</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r w:rsidR="006C69B9" w:rsidRPr="006C69B9" w:rsidTr="006C69B9">
        <w:trPr>
          <w:trHeight w:val="300"/>
          <w:jc w:val="center"/>
        </w:trPr>
        <w:tc>
          <w:tcPr>
            <w:cnfStyle w:val="001000000000"/>
            <w:tcW w:w="2076" w:type="dxa"/>
            <w:noWrap/>
            <w:hideMark/>
          </w:tcPr>
          <w:p w:rsidR="006C69B9" w:rsidRPr="006C69B9" w:rsidRDefault="006C69B9" w:rsidP="006C69B9">
            <w:pPr>
              <w:spacing w:after="100" w:line="276" w:lineRule="auto"/>
              <w:jc w:val="both"/>
              <w:rPr>
                <w:rFonts w:ascii="Calibri" w:eastAsia="Calibri" w:hAnsi="Calibri" w:cs="Times New Roman"/>
                <w:sz w:val="20"/>
                <w:szCs w:val="20"/>
                <w:lang w:val="bs-Latn-BA"/>
              </w:rPr>
            </w:pPr>
            <w:r w:rsidRPr="006C69B9">
              <w:rPr>
                <w:rFonts w:ascii="Calibri" w:eastAsia="Calibri" w:hAnsi="Calibri" w:cs="Times New Roman"/>
                <w:sz w:val="20"/>
                <w:szCs w:val="20"/>
                <w:lang w:val="bs-Latn-BA"/>
              </w:rPr>
              <w:t>Stolac</w:t>
            </w:r>
          </w:p>
        </w:tc>
        <w:tc>
          <w:tcPr>
            <w:tcW w:w="188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Bregava</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c>
          <w:tcPr>
            <w:tcW w:w="960" w:type="dxa"/>
            <w:shd w:val="clear" w:color="auto" w:fill="DAEEF3"/>
            <w:noWrap/>
            <w:hideMark/>
          </w:tcPr>
          <w:p w:rsidR="006C69B9" w:rsidRPr="006C69B9" w:rsidRDefault="006C69B9" w:rsidP="006C69B9">
            <w:pPr>
              <w:spacing w:after="100" w:line="276" w:lineRule="auto"/>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dobro</w:t>
            </w:r>
          </w:p>
        </w:tc>
      </w:tr>
    </w:tbl>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spacing w:after="100" w:line="276" w:lineRule="auto"/>
        <w:jc w:val="center"/>
        <w:rPr>
          <w:rFonts w:ascii="Calibri" w:eastAsia="Calibri" w:hAnsi="Calibri" w:cs="Times New Roman"/>
          <w:lang w:val="bs-Latn-BA"/>
        </w:rPr>
      </w:pPr>
      <w:r w:rsidRPr="006C69B9">
        <w:rPr>
          <w:rFonts w:ascii="Calibri" w:eastAsia="Calibri" w:hAnsi="Calibri" w:cs="Times New Roman"/>
          <w:lang w:val="bs-Latn-BA"/>
        </w:rPr>
        <w:t>.</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No unatoč vodnom bogatstvu, priključenost stanovništva na javne vodoopskrbnu mrežu značajno se razlikuje među JLS. Dobra pokrivenost se može konstatirati za područje Općine Čitluk, Grada Mostara i Grada Čapljine. Priključenost na vodoopskrbnu mrežu</w:t>
      </w:r>
      <w:r w:rsidRPr="006C69B9">
        <w:rPr>
          <w:rFonts w:ascii="Calibri" w:eastAsia="Calibri" w:hAnsi="Calibri" w:cs="Times New Roman"/>
          <w:color w:val="000000"/>
          <w:lang w:val="bs-Latn-BA"/>
        </w:rPr>
        <w:t xml:space="preserve"> općenito slabija u ruralnim područjima, gdje </w:t>
      </w:r>
      <w:r w:rsidRPr="006C69B9">
        <w:rPr>
          <w:rFonts w:ascii="Calibri" w:eastAsia="Calibri" w:hAnsi="Calibri" w:cs="Times New Roman"/>
          <w:color w:val="000000"/>
          <w:lang w:val="bs-Latn-BA"/>
        </w:rPr>
        <w:lastRenderedPageBreak/>
        <w:t>pojedina naselja u Županiji nisu obuhvaćena postojećim vodoopskrbnim sustavima te je vodoopskrba ograničena na čatrnje i cisterne za vodu. Problemi po pitanju vodoopskrbe u HNŽ-u su i veliki gubitci vode (49,71% prosječna vrijednost u HNŽ/K), za koji iznose i do 70%</w:t>
      </w:r>
      <w:r w:rsidRPr="006C69B9">
        <w:rPr>
          <w:rFonts w:ascii="Calibri" w:eastAsia="Calibri" w:hAnsi="Calibri" w:cs="Times New Roman"/>
          <w:color w:val="000000"/>
          <w:vertAlign w:val="superscript"/>
          <w:lang w:val="bs-Latn-BA"/>
        </w:rPr>
        <w:footnoteReference w:id="27"/>
      </w:r>
      <w:r w:rsidRPr="006C69B9">
        <w:rPr>
          <w:rFonts w:ascii="Calibri" w:eastAsia="Calibri" w:hAnsi="Calibri" w:cs="Times New Roman"/>
          <w:color w:val="000000"/>
          <w:lang w:val="bs-Latn-BA"/>
        </w:rPr>
        <w:t xml:space="preserve">. Stoga je </w:t>
      </w:r>
      <w:r w:rsidRPr="006C69B9">
        <w:rPr>
          <w:rFonts w:ascii="Calibri" w:eastAsia="Calibri" w:hAnsi="Calibri" w:cs="Times New Roman"/>
          <w:lang w:val="bs-Latn-BA"/>
        </w:rPr>
        <w:t>na postojećim vodoopskrbnim sustavima potrebno obaviti nužne popravke na dotrajalim distributivnim mrežama i drugim objektima, kako bi se gubitci vode smanjili i osigurala kvalitetnija vodoopskrba stanovništva.</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b/>
          <w:lang w:val="bs-Latn-BA"/>
        </w:rPr>
        <w:t>Otpadne vode.</w:t>
      </w:r>
      <w:r w:rsidRPr="006C69B9">
        <w:rPr>
          <w:rFonts w:ascii="Calibri" w:eastAsia="Calibri" w:hAnsi="Calibri" w:cs="Times New Roman"/>
          <w:lang w:val="bs-Latn-BA"/>
        </w:rPr>
        <w:t xml:space="preserve"> Sustav odvodnje otpadnih voda u Hercegovačko-neretvanskoj županiji uglavnom je reguliran i ograničen na uža gradska središta. Priključenost stanovništva na kanalizaciju značajno se razlikuje među JSL, a prosječna pokrivenost u HNŽ/K je 41,40%. Pročistači za tercijarni tretman otpadnih voda u djelomičnom ili punom kapacitetu u funkciji su u Čitluku (za 14.000 ES), Konjicu (za 15.000 ES) i Mostaru (za 100.000 ES). Pročistač otpadnih voda u Neumu dio je Regionalnog odvodnog sustava Komarna-Neum-Mljetski kanal. Postrojenje za pročišćavanje je smješteno u Republici Hrvatskoj, na poluotoku Pelješcu (lokacija Vitina-Ston) te je međudržavnog karaktera. Sustav nije razvijen u svom konačnom kapacitetu (30.000ES), a njime je obuhvaćeno oko 70% otpadnih voda grada Neuma. Deponiranje otpadnih voda, osobito u ruralnim područjima, često je riješeno </w:t>
      </w:r>
      <w:r w:rsidRPr="006C69B9">
        <w:rPr>
          <w:rFonts w:ascii="Calibri" w:eastAsia="Calibri" w:hAnsi="Calibri" w:cs="Times New Roman"/>
          <w:b/>
          <w:lang w:val="bs-Latn-BA"/>
        </w:rPr>
        <w:t>septičkim jamama</w:t>
      </w:r>
      <w:r w:rsidRPr="006C69B9">
        <w:rPr>
          <w:rFonts w:ascii="Calibri" w:eastAsia="Calibri" w:hAnsi="Calibri" w:cs="Times New Roman"/>
          <w:lang w:val="bs-Latn-BA"/>
        </w:rPr>
        <w:t xml:space="preserve">, čija neadekvatna izgrađenost ili neodržavanje može dovesti do prodora otpadnih voda u podzemlje, s obzirom na propusnost krške podloge. </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 xml:space="preserve">Tabela 79. </w:t>
      </w:r>
      <w:r w:rsidRPr="006C69B9">
        <w:rPr>
          <w:rFonts w:ascii="Calibri" w:eastAsia="Calibri" w:hAnsi="Calibri" w:cs="Calibri Light"/>
          <w:bCs/>
          <w:i/>
          <w:noProof/>
          <w:color w:val="31849B"/>
          <w:sz w:val="20"/>
        </w:rPr>
        <w:t>Pokazatelji korištenja voda na području HNŽ/K</w:t>
      </w:r>
    </w:p>
    <w:tbl>
      <w:tblPr>
        <w:tblStyle w:val="MediumGrid3-Accent51"/>
        <w:tblW w:w="9488" w:type="dxa"/>
        <w:tblLook w:val="04A0"/>
      </w:tblPr>
      <w:tblGrid>
        <w:gridCol w:w="1266"/>
        <w:gridCol w:w="1418"/>
        <w:gridCol w:w="1559"/>
        <w:gridCol w:w="1843"/>
        <w:gridCol w:w="1701"/>
        <w:gridCol w:w="1701"/>
      </w:tblGrid>
      <w:tr w:rsidR="006C69B9" w:rsidRPr="006C69B9" w:rsidTr="006C69B9">
        <w:trPr>
          <w:cnfStyle w:val="100000000000"/>
          <w:trHeight w:val="565"/>
        </w:trPr>
        <w:tc>
          <w:tcPr>
            <w:cnfStyle w:val="001000000000"/>
            <w:tcW w:w="1266" w:type="dxa"/>
          </w:tcPr>
          <w:p w:rsidR="006C69B9" w:rsidRPr="006C69B9" w:rsidRDefault="006C69B9" w:rsidP="006C69B9">
            <w:pPr>
              <w:jc w:val="center"/>
              <w:rPr>
                <w:rFonts w:ascii="Calibri" w:eastAsia="Calibri" w:hAnsi="Calibri" w:cs="Times New Roman"/>
                <w:sz w:val="20"/>
                <w:szCs w:val="20"/>
                <w:lang w:val="bs-Latn-BA" w:eastAsia="hr-HR"/>
              </w:rPr>
            </w:pPr>
          </w:p>
        </w:tc>
        <w:tc>
          <w:tcPr>
            <w:tcW w:w="1418"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Priključenost na vodovod (%)</w:t>
            </w:r>
          </w:p>
        </w:tc>
        <w:tc>
          <w:tcPr>
            <w:tcW w:w="1559"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Priključenost na kanalizaciju (%)</w:t>
            </w:r>
          </w:p>
        </w:tc>
        <w:tc>
          <w:tcPr>
            <w:tcW w:w="1843"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Broj stanovnika  koji se opslužuju vodovodom</w:t>
            </w:r>
          </w:p>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(st)</w:t>
            </w:r>
          </w:p>
        </w:tc>
        <w:tc>
          <w:tcPr>
            <w:tcW w:w="1701"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Broj stanovnika  priključen na konalizaciju (st)</w:t>
            </w:r>
          </w:p>
        </w:tc>
        <w:tc>
          <w:tcPr>
            <w:tcW w:w="1701"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Gubitci vode u sustavu</w:t>
            </w:r>
          </w:p>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w:t>
            </w:r>
          </w:p>
        </w:tc>
      </w:tr>
      <w:tr w:rsidR="006C69B9" w:rsidRPr="006C69B9" w:rsidTr="006C69B9">
        <w:trPr>
          <w:cnfStyle w:val="000000100000"/>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Čapljina</w:t>
            </w:r>
          </w:p>
        </w:tc>
        <w:tc>
          <w:tcPr>
            <w:tcW w:w="1418"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95,98</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32,14</w:t>
            </w:r>
          </w:p>
        </w:tc>
        <w:tc>
          <w:tcPr>
            <w:tcW w:w="1843"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23.892</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6.000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68,00</w:t>
            </w:r>
          </w:p>
        </w:tc>
      </w:tr>
      <w:tr w:rsidR="006C69B9" w:rsidRPr="006C69B9" w:rsidTr="006C69B9">
        <w:trPr>
          <w:trHeight w:val="33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Čitluk</w:t>
            </w:r>
          </w:p>
        </w:tc>
        <w:tc>
          <w:tcPr>
            <w:tcW w:w="1418"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100,00</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34,24</w:t>
            </w:r>
          </w:p>
        </w:tc>
        <w:tc>
          <w:tcPr>
            <w:tcW w:w="1843"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20.444</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7.000</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26,67</w:t>
            </w:r>
          </w:p>
        </w:tc>
      </w:tr>
      <w:tr w:rsidR="006C69B9" w:rsidRPr="006C69B9" w:rsidTr="006C69B9">
        <w:trPr>
          <w:cnfStyle w:val="000000100000"/>
          <w:trHeight w:val="33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Jablanica</w:t>
            </w:r>
          </w:p>
        </w:tc>
        <w:tc>
          <w:tcPr>
            <w:tcW w:w="1418"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69,37</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57,98</w:t>
            </w:r>
          </w:p>
        </w:tc>
        <w:tc>
          <w:tcPr>
            <w:tcW w:w="1843"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6.700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33,45</w:t>
            </w:r>
          </w:p>
        </w:tc>
      </w:tr>
      <w:tr w:rsidR="006C69B9" w:rsidRPr="006C69B9" w:rsidTr="006C69B9">
        <w:trPr>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Konjic</w:t>
            </w:r>
          </w:p>
        </w:tc>
        <w:tc>
          <w:tcPr>
            <w:tcW w:w="1418"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56,76</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41,74</w:t>
            </w:r>
          </w:p>
        </w:tc>
        <w:tc>
          <w:tcPr>
            <w:tcW w:w="1843"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13.600</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10.000</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33,33</w:t>
            </w:r>
          </w:p>
        </w:tc>
      </w:tr>
      <w:tr w:rsidR="006C69B9" w:rsidRPr="006C69B9" w:rsidTr="006C69B9">
        <w:trPr>
          <w:cnfStyle w:val="000000100000"/>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Mostar</w:t>
            </w:r>
          </w:p>
        </w:tc>
        <w:tc>
          <w:tcPr>
            <w:tcW w:w="1418"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97,57</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72,67</w:t>
            </w:r>
          </w:p>
        </w:tc>
        <w:tc>
          <w:tcPr>
            <w:tcW w:w="1843"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100.700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75.000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49,80</w:t>
            </w:r>
          </w:p>
        </w:tc>
      </w:tr>
      <w:tr w:rsidR="006C69B9" w:rsidRPr="006C69B9" w:rsidTr="006C69B9">
        <w:trPr>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Neum</w:t>
            </w:r>
          </w:p>
        </w:tc>
        <w:tc>
          <w:tcPr>
            <w:tcW w:w="1418"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63,25</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39,53</w:t>
            </w:r>
          </w:p>
        </w:tc>
        <w:tc>
          <w:tcPr>
            <w:tcW w:w="1843"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4.800</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3.000</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63,05</w:t>
            </w:r>
          </w:p>
        </w:tc>
      </w:tr>
      <w:tr w:rsidR="006C69B9" w:rsidRPr="006C69B9" w:rsidTr="006C69B9">
        <w:trPr>
          <w:cnfStyle w:val="000000100000"/>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Prozor-Rama</w:t>
            </w:r>
          </w:p>
        </w:tc>
        <w:tc>
          <w:tcPr>
            <w:tcW w:w="1418"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40,70</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18,50</w:t>
            </w:r>
          </w:p>
        </w:tc>
        <w:tc>
          <w:tcPr>
            <w:tcW w:w="1843"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5.500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2.500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50,75</w:t>
            </w:r>
          </w:p>
        </w:tc>
      </w:tr>
      <w:tr w:rsidR="006C69B9" w:rsidRPr="006C69B9" w:rsidTr="006C69B9">
        <w:trPr>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Ravno</w:t>
            </w:r>
          </w:p>
        </w:tc>
        <w:tc>
          <w:tcPr>
            <w:tcW w:w="1418"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w:t>
            </w:r>
          </w:p>
        </w:tc>
        <w:tc>
          <w:tcPr>
            <w:tcW w:w="1843"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w:t>
            </w:r>
          </w:p>
        </w:tc>
        <w:tc>
          <w:tcPr>
            <w:tcW w:w="1701"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w:t>
            </w:r>
          </w:p>
        </w:tc>
      </w:tr>
      <w:tr w:rsidR="006C69B9" w:rsidRPr="006C69B9" w:rsidTr="006C69B9">
        <w:trPr>
          <w:cnfStyle w:val="000000100000"/>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Stolac</w:t>
            </w:r>
          </w:p>
        </w:tc>
        <w:tc>
          <w:tcPr>
            <w:tcW w:w="1418"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58,45</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35,21</w:t>
            </w:r>
          </w:p>
        </w:tc>
        <w:tc>
          <w:tcPr>
            <w:tcW w:w="1843"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8.300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5.000</w:t>
            </w:r>
          </w:p>
        </w:tc>
        <w:tc>
          <w:tcPr>
            <w:tcW w:w="1701"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72,59</w:t>
            </w:r>
          </w:p>
        </w:tc>
      </w:tr>
      <w:tr w:rsidR="006C69B9" w:rsidRPr="006C69B9" w:rsidTr="006C69B9">
        <w:trPr>
          <w:trHeight w:val="290"/>
        </w:trPr>
        <w:tc>
          <w:tcPr>
            <w:cnfStyle w:val="001000000000"/>
            <w:tcW w:w="1266"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Ukupno:</w:t>
            </w:r>
          </w:p>
        </w:tc>
        <w:tc>
          <w:tcPr>
            <w:tcW w:w="1418" w:type="dxa"/>
            <w:shd w:val="clear" w:color="auto" w:fill="92CDDC"/>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72,76</w:t>
            </w:r>
          </w:p>
        </w:tc>
        <w:tc>
          <w:tcPr>
            <w:tcW w:w="1559" w:type="dxa"/>
            <w:shd w:val="clear" w:color="auto" w:fill="92CDDC"/>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41,50</w:t>
            </w:r>
          </w:p>
        </w:tc>
        <w:tc>
          <w:tcPr>
            <w:tcW w:w="1843" w:type="dxa"/>
            <w:shd w:val="clear" w:color="auto" w:fill="92CDDC"/>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183.936</w:t>
            </w:r>
          </w:p>
        </w:tc>
        <w:tc>
          <w:tcPr>
            <w:tcW w:w="1701" w:type="dxa"/>
            <w:shd w:val="clear" w:color="auto" w:fill="92CDDC"/>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114.100</w:t>
            </w:r>
          </w:p>
        </w:tc>
        <w:tc>
          <w:tcPr>
            <w:tcW w:w="1701" w:type="dxa"/>
            <w:shd w:val="clear" w:color="auto" w:fill="92CDDC"/>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49,71</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Agencija za vodno područje Jadranskog mora, 2019 (izračun)</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Prisutno je i ispuštanje otpadnih voda iz domaćinstava i industrije izravno u recipijent (podzemne i nadzemne tokove), bez njihovog prethodnog pročišćavanja. Prema dostupnim evidencijama iz Registra o ispuštanjima otpadnih voda u površinske/podzemne vode Federalnog ministarstva okoliša i turizma (www.fmoit.gov.ba) za proteklo trogodišnje razdoblje (2016. do 2018.), otpadne vode koje se izravno ispuštaju u vodna tijela iz postrojenja na području Županije u najvećoj mjeri sadrže amonijak (NH</w:t>
      </w:r>
      <w:r w:rsidRPr="006C69B9">
        <w:rPr>
          <w:rFonts w:ascii="Calibri" w:eastAsia="Calibri" w:hAnsi="Calibri" w:cs="Times New Roman"/>
          <w:vertAlign w:val="subscript"/>
          <w:lang w:val="bs-Latn-BA"/>
        </w:rPr>
        <w:t>3</w:t>
      </w:r>
      <w:r w:rsidRPr="006C69B9">
        <w:rPr>
          <w:rFonts w:ascii="Calibri" w:eastAsia="Calibri" w:hAnsi="Calibri" w:cs="Times New Roman"/>
          <w:lang w:val="bs-Latn-BA"/>
        </w:rPr>
        <w:t>). Najčešći izvori zagađenja su u sektorima ekstraktivne i mineralne industrije te metalne i prehrambene industrije, energetike, građevinarstva i upravljanja otpadom.</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80. Ispuštanje otpadnih voda u površinske/podzemne vode iz postrojenja na području HNŽ-a u razdoblju od 2016. do 2018. godine</w:t>
      </w:r>
    </w:p>
    <w:tbl>
      <w:tblPr>
        <w:tblStyle w:val="MediumGrid3-Accent51"/>
        <w:tblW w:w="0" w:type="auto"/>
        <w:tblLook w:val="04A0"/>
      </w:tblPr>
      <w:tblGrid>
        <w:gridCol w:w="3551"/>
        <w:gridCol w:w="1688"/>
        <w:gridCol w:w="2027"/>
        <w:gridCol w:w="2000"/>
      </w:tblGrid>
      <w:tr w:rsidR="006C69B9" w:rsidRPr="006C69B9" w:rsidTr="006C69B9">
        <w:trPr>
          <w:cnfStyle w:val="100000000000"/>
        </w:trPr>
        <w:tc>
          <w:tcPr>
            <w:cnfStyle w:val="001000000000"/>
            <w:tcW w:w="3551" w:type="dxa"/>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Zagađujuća tvar</w:t>
            </w:r>
          </w:p>
        </w:tc>
        <w:tc>
          <w:tcPr>
            <w:tcW w:w="5715" w:type="dxa"/>
            <w:gridSpan w:val="3"/>
            <w:shd w:val="clear" w:color="auto" w:fill="D2EAF1"/>
          </w:tcPr>
          <w:p w:rsidR="006C69B9" w:rsidRPr="006C69B9" w:rsidRDefault="006C69B9" w:rsidP="006C69B9">
            <w:pPr>
              <w:jc w:val="center"/>
              <w:cnfStyle w:val="100000000000"/>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Ukupno (kg/god)</w:t>
            </w:r>
          </w:p>
        </w:tc>
      </w:tr>
      <w:tr w:rsidR="006C69B9" w:rsidRPr="006C69B9" w:rsidTr="006C69B9">
        <w:trPr>
          <w:cnfStyle w:val="000000100000"/>
        </w:trPr>
        <w:tc>
          <w:tcPr>
            <w:cnfStyle w:val="001000000000"/>
            <w:tcW w:w="3551" w:type="dxa"/>
          </w:tcPr>
          <w:p w:rsidR="006C69B9" w:rsidRPr="006C69B9" w:rsidRDefault="006C69B9" w:rsidP="006C69B9">
            <w:pPr>
              <w:jc w:val="center"/>
              <w:rPr>
                <w:rFonts w:ascii="Calibri" w:eastAsia="Calibri" w:hAnsi="Calibri" w:cs="Times New Roman"/>
                <w:sz w:val="20"/>
                <w:szCs w:val="20"/>
                <w:lang w:val="bs-Latn-BA"/>
              </w:rPr>
            </w:pPr>
          </w:p>
        </w:tc>
        <w:tc>
          <w:tcPr>
            <w:tcW w:w="1688" w:type="dxa"/>
            <w:shd w:val="clear" w:color="auto" w:fill="DAEEF3"/>
          </w:tcPr>
          <w:p w:rsidR="006C69B9" w:rsidRPr="006C69B9" w:rsidRDefault="006C69B9" w:rsidP="006C69B9">
            <w:pPr>
              <w:jc w:val="center"/>
              <w:cnfStyle w:val="000000100000"/>
              <w:rPr>
                <w:rFonts w:ascii="Calibri" w:eastAsia="Calibri" w:hAnsi="Calibri" w:cs="Times New Roman"/>
                <w:b/>
                <w:caps/>
                <w:sz w:val="20"/>
                <w:szCs w:val="20"/>
                <w:lang w:val="bs-Latn-BA"/>
              </w:rPr>
            </w:pPr>
            <w:r w:rsidRPr="006C69B9">
              <w:rPr>
                <w:rFonts w:ascii="Calibri" w:eastAsia="Calibri" w:hAnsi="Calibri" w:cs="Times New Roman"/>
                <w:b/>
                <w:caps/>
                <w:sz w:val="20"/>
                <w:szCs w:val="20"/>
                <w:lang w:val="bs-Latn-BA"/>
              </w:rPr>
              <w:t>2016.</w:t>
            </w:r>
          </w:p>
        </w:tc>
        <w:tc>
          <w:tcPr>
            <w:tcW w:w="2027" w:type="dxa"/>
            <w:shd w:val="clear" w:color="auto" w:fill="DAEEF3"/>
          </w:tcPr>
          <w:p w:rsidR="006C69B9" w:rsidRPr="006C69B9" w:rsidRDefault="006C69B9" w:rsidP="006C69B9">
            <w:pPr>
              <w:jc w:val="center"/>
              <w:cnfStyle w:val="000000100000"/>
              <w:rPr>
                <w:rFonts w:ascii="Calibri" w:eastAsia="Calibri" w:hAnsi="Calibri" w:cs="Times New Roman"/>
                <w:b/>
                <w:caps/>
                <w:sz w:val="20"/>
                <w:szCs w:val="20"/>
                <w:lang w:val="bs-Latn-BA"/>
              </w:rPr>
            </w:pPr>
            <w:r w:rsidRPr="006C69B9">
              <w:rPr>
                <w:rFonts w:ascii="Calibri" w:eastAsia="Calibri" w:hAnsi="Calibri" w:cs="Times New Roman"/>
                <w:b/>
                <w:caps/>
                <w:sz w:val="20"/>
                <w:szCs w:val="20"/>
                <w:lang w:val="bs-Latn-BA"/>
              </w:rPr>
              <w:t>2017.</w:t>
            </w:r>
          </w:p>
        </w:tc>
        <w:tc>
          <w:tcPr>
            <w:tcW w:w="2000" w:type="dxa"/>
            <w:shd w:val="clear" w:color="auto" w:fill="DAEEF3"/>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caps/>
                <w:sz w:val="20"/>
                <w:szCs w:val="20"/>
                <w:lang w:val="bs-Latn-BA"/>
              </w:rPr>
              <w:t>2018.</w:t>
            </w:r>
          </w:p>
        </w:tc>
      </w:tr>
      <w:tr w:rsidR="006C69B9" w:rsidRPr="006C69B9" w:rsidTr="006C69B9">
        <w:tc>
          <w:tcPr>
            <w:cnfStyle w:val="001000000000"/>
            <w:tcW w:w="3551"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Cink i spojevi (kao Zn)</w:t>
            </w:r>
          </w:p>
        </w:tc>
        <w:tc>
          <w:tcPr>
            <w:tcW w:w="1688"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26,42</w:t>
            </w:r>
          </w:p>
        </w:tc>
        <w:tc>
          <w:tcPr>
            <w:tcW w:w="2027"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136,58</w:t>
            </w:r>
          </w:p>
        </w:tc>
        <w:tc>
          <w:tcPr>
            <w:tcW w:w="20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19,46</w:t>
            </w:r>
          </w:p>
        </w:tc>
      </w:tr>
      <w:tr w:rsidR="006C69B9" w:rsidRPr="006C69B9" w:rsidTr="006C69B9">
        <w:trPr>
          <w:cnfStyle w:val="000000100000"/>
        </w:trPr>
        <w:tc>
          <w:tcPr>
            <w:cnfStyle w:val="001000000000"/>
            <w:tcW w:w="3551"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lastRenderedPageBreak/>
              <w:t>Nikal i spojevi (kao Ni)</w:t>
            </w:r>
          </w:p>
        </w:tc>
        <w:tc>
          <w:tcPr>
            <w:tcW w:w="1688"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20,38</w:t>
            </w:r>
          </w:p>
        </w:tc>
        <w:tc>
          <w:tcPr>
            <w:tcW w:w="2027"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p>
        </w:tc>
        <w:tc>
          <w:tcPr>
            <w:tcW w:w="20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1,43</w:t>
            </w:r>
          </w:p>
        </w:tc>
      </w:tr>
      <w:tr w:rsidR="006C69B9" w:rsidRPr="006C69B9" w:rsidTr="006C69B9">
        <w:tc>
          <w:tcPr>
            <w:cnfStyle w:val="001000000000"/>
            <w:tcW w:w="3551"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Bakar i spojevi (kao Cu)</w:t>
            </w:r>
          </w:p>
        </w:tc>
        <w:tc>
          <w:tcPr>
            <w:tcW w:w="1688"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11,71</w:t>
            </w:r>
          </w:p>
        </w:tc>
        <w:tc>
          <w:tcPr>
            <w:tcW w:w="2027"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10,37</w:t>
            </w:r>
          </w:p>
        </w:tc>
        <w:tc>
          <w:tcPr>
            <w:tcW w:w="20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9,63</w:t>
            </w:r>
          </w:p>
        </w:tc>
      </w:tr>
      <w:tr w:rsidR="006C69B9" w:rsidRPr="006C69B9" w:rsidTr="006C69B9">
        <w:trPr>
          <w:cnfStyle w:val="000000100000"/>
        </w:trPr>
        <w:tc>
          <w:tcPr>
            <w:cnfStyle w:val="001000000000"/>
            <w:tcW w:w="3551"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Krom i spojevi (kao Cr)</w:t>
            </w:r>
          </w:p>
        </w:tc>
        <w:tc>
          <w:tcPr>
            <w:tcW w:w="1688"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28,77</w:t>
            </w:r>
          </w:p>
        </w:tc>
        <w:tc>
          <w:tcPr>
            <w:tcW w:w="2027"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20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2,02</w:t>
            </w:r>
          </w:p>
        </w:tc>
      </w:tr>
      <w:tr w:rsidR="006C69B9" w:rsidRPr="006C69B9" w:rsidTr="006C69B9">
        <w:tc>
          <w:tcPr>
            <w:cnfStyle w:val="001000000000"/>
            <w:tcW w:w="3551"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Klor i anorganski spojevi (kao HCl)</w:t>
            </w:r>
          </w:p>
        </w:tc>
        <w:tc>
          <w:tcPr>
            <w:tcW w:w="1688"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206,72</w:t>
            </w:r>
          </w:p>
        </w:tc>
        <w:tc>
          <w:tcPr>
            <w:tcW w:w="2027"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20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r>
      <w:tr w:rsidR="006C69B9" w:rsidRPr="006C69B9" w:rsidTr="006C69B9">
        <w:trPr>
          <w:cnfStyle w:val="000000100000"/>
        </w:trPr>
        <w:tc>
          <w:tcPr>
            <w:cnfStyle w:val="001000000000"/>
            <w:tcW w:w="3551"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Amonijak (NH</w:t>
            </w:r>
            <w:r w:rsidRPr="006C69B9">
              <w:rPr>
                <w:rFonts w:ascii="Calibri" w:eastAsia="Calibri" w:hAnsi="Calibri" w:cs="Times New Roman"/>
                <w:caps/>
                <w:sz w:val="20"/>
                <w:szCs w:val="20"/>
                <w:vertAlign w:val="subscript"/>
                <w:lang w:val="bs-Latn-BA"/>
              </w:rPr>
              <w:t>3</w:t>
            </w:r>
            <w:r w:rsidRPr="006C69B9">
              <w:rPr>
                <w:rFonts w:ascii="Calibri" w:eastAsia="Calibri" w:hAnsi="Calibri" w:cs="Times New Roman"/>
                <w:caps/>
                <w:sz w:val="20"/>
                <w:szCs w:val="20"/>
                <w:lang w:val="bs-Latn-BA"/>
              </w:rPr>
              <w:t>)</w:t>
            </w:r>
          </w:p>
        </w:tc>
        <w:tc>
          <w:tcPr>
            <w:tcW w:w="1688"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529,84</w:t>
            </w:r>
          </w:p>
        </w:tc>
        <w:tc>
          <w:tcPr>
            <w:tcW w:w="2027"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511,94</w:t>
            </w:r>
          </w:p>
        </w:tc>
        <w:tc>
          <w:tcPr>
            <w:tcW w:w="2000"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1,90</w:t>
            </w:r>
          </w:p>
        </w:tc>
      </w:tr>
      <w:tr w:rsidR="006C69B9" w:rsidRPr="006C69B9" w:rsidTr="006C69B9">
        <w:tc>
          <w:tcPr>
            <w:cnfStyle w:val="001000000000"/>
            <w:tcW w:w="3551"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Oksidi dušika (NO</w:t>
            </w:r>
            <w:r w:rsidRPr="006C69B9">
              <w:rPr>
                <w:rFonts w:ascii="Calibri" w:eastAsia="Calibri" w:hAnsi="Calibri" w:cs="Times New Roman"/>
                <w:caps/>
                <w:sz w:val="20"/>
                <w:szCs w:val="20"/>
                <w:vertAlign w:val="subscript"/>
                <w:lang w:val="bs-Latn-BA"/>
              </w:rPr>
              <w:t>x</w:t>
            </w:r>
            <w:r w:rsidRPr="006C69B9">
              <w:rPr>
                <w:rFonts w:ascii="Calibri" w:eastAsia="Calibri" w:hAnsi="Calibri" w:cs="Times New Roman"/>
                <w:caps/>
                <w:sz w:val="20"/>
                <w:szCs w:val="20"/>
                <w:lang w:val="bs-Latn-BA"/>
              </w:rPr>
              <w:t>/NO</w:t>
            </w:r>
            <w:r w:rsidRPr="006C69B9">
              <w:rPr>
                <w:rFonts w:ascii="Calibri" w:eastAsia="Calibri" w:hAnsi="Calibri" w:cs="Times New Roman"/>
                <w:caps/>
                <w:sz w:val="20"/>
                <w:szCs w:val="20"/>
                <w:vertAlign w:val="subscript"/>
                <w:lang w:val="bs-Latn-BA"/>
              </w:rPr>
              <w:t>2</w:t>
            </w:r>
            <w:r w:rsidRPr="006C69B9">
              <w:rPr>
                <w:rFonts w:ascii="Calibri" w:eastAsia="Calibri" w:hAnsi="Calibri" w:cs="Times New Roman"/>
                <w:caps/>
                <w:sz w:val="20"/>
                <w:szCs w:val="20"/>
                <w:lang w:val="bs-Latn-BA"/>
              </w:rPr>
              <w:t>)</w:t>
            </w:r>
          </w:p>
        </w:tc>
        <w:tc>
          <w:tcPr>
            <w:tcW w:w="1688"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73,62</w:t>
            </w:r>
          </w:p>
        </w:tc>
        <w:tc>
          <w:tcPr>
            <w:tcW w:w="2027"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0,91</w:t>
            </w:r>
          </w:p>
        </w:tc>
        <w:tc>
          <w:tcPr>
            <w:tcW w:w="2000"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p>
        </w:tc>
      </w:tr>
      <w:tr w:rsidR="006C69B9" w:rsidRPr="006C69B9" w:rsidTr="006C69B9">
        <w:trPr>
          <w:cnfStyle w:val="000000100000"/>
        </w:trPr>
        <w:tc>
          <w:tcPr>
            <w:cnfStyle w:val="001000000000"/>
            <w:tcW w:w="3551"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Ukupno:</w:t>
            </w:r>
          </w:p>
        </w:tc>
        <w:tc>
          <w:tcPr>
            <w:tcW w:w="1688"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897,45</w:t>
            </w:r>
          </w:p>
        </w:tc>
        <w:tc>
          <w:tcPr>
            <w:tcW w:w="2027"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659,80</w:t>
            </w:r>
          </w:p>
        </w:tc>
        <w:tc>
          <w:tcPr>
            <w:tcW w:w="2000"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36,48</w:t>
            </w:r>
          </w:p>
        </w:tc>
      </w:tr>
    </w:tbl>
    <w:p w:rsidR="006C69B9" w:rsidRPr="006C69B9" w:rsidRDefault="006C69B9" w:rsidP="006C69B9">
      <w:pPr>
        <w:jc w:val="center"/>
        <w:rPr>
          <w:rFonts w:ascii="Calibri" w:eastAsia="Calibri" w:hAnsi="Calibri" w:cs="Times New Roman"/>
          <w:lang w:eastAsia="hr-HR"/>
        </w:rPr>
      </w:pPr>
      <w:r w:rsidRPr="006C69B9">
        <w:rPr>
          <w:rFonts w:ascii="Calibri" w:eastAsia="Calibri" w:hAnsi="Calibri" w:cs="Times New Roman"/>
          <w:b/>
          <w:i/>
          <w:sz w:val="18"/>
          <w:szCs w:val="18"/>
          <w:lang w:val="bs-Latn-BA"/>
        </w:rPr>
        <w:t>Izvor podataka: Registar o postrojenjima i zagađivanjima Federalnog ministarstva okoliša i turizma (www.fmoit.gov.ba)</w:t>
      </w:r>
    </w:p>
    <w:p w:rsidR="006C69B9" w:rsidRPr="006C69B9" w:rsidRDefault="006C69B9" w:rsidP="006C69B9">
      <w:pPr>
        <w:spacing w:after="100" w:line="276" w:lineRule="auto"/>
        <w:jc w:val="both"/>
        <w:rPr>
          <w:rFonts w:ascii="Calibri" w:eastAsia="Calibri" w:hAnsi="Calibri" w:cs="Times New Roman"/>
          <w:b/>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Važan segment u upravljanju vodama, osim njihovog očuvanja, je i zaštita od voda. Prema Studiji ranjivosti prostora HNŽ/K, područja posebno ugrožena poplavama obuhvaćaju donji tok Neretve, nizvodno od Mostara i Mostarsko blato. Za očekivati je da će se vremenski ekstremi u narednom periodu pojačati i na području Županije, kao posljedica predviđanih klimatskih promjena. Sukladno tome, u naredno periodu potrebno je identificirati područja u HNŽ/K koja su osjetljiva na klimatske primjene i utjecaje klimatskih scenarija na prirodne resurse i ljudske djelatnosti, kao i integrirati mjera ublažavanja u strateške i planske dokumente te jačati kapacitete za upravljanje prirodnim rizicima (poplave, suše, požari, potresi, klizišta). </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98" w:name="_Toc54530591"/>
      <w:bookmarkStart w:id="99" w:name="_Toc57573241"/>
      <w:r w:rsidRPr="006C69B9">
        <w:rPr>
          <w:rFonts w:ascii="Calibri" w:eastAsia="Calibri" w:hAnsi="Calibri" w:cs="Times New Roman"/>
          <w:b/>
          <w:bCs/>
          <w:iCs/>
          <w:color w:val="31849B"/>
          <w:sz w:val="24"/>
          <w:szCs w:val="28"/>
          <w:lang w:eastAsia="hr-HR"/>
        </w:rPr>
        <w:t>Upravljanje otpadom</w:t>
      </w:r>
      <w:bookmarkEnd w:id="98"/>
      <w:bookmarkEnd w:id="99"/>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Problematika zbrinjavanja otpada u HNŽ-u vrlo je složena. Održivo upravljanje otpadom predstavlja jedan ključnih okolišnih izazova na području Županije te je u tijeku je izrada Plana upravljanja otpadom. Prosječna dnevna proizvodnja komunalnog otpada po stanovniku Županije iznosi oko 1,0  kg, odnosno 365 kg po stanovniku godišnje.</w:t>
      </w:r>
      <w:r w:rsidRPr="006C69B9">
        <w:rPr>
          <w:rFonts w:ascii="Calibri" w:eastAsia="Calibri" w:hAnsi="Calibri" w:cs="Times New Roman"/>
          <w:vertAlign w:val="superscript"/>
          <w:lang w:val="bs-Latn-BA"/>
        </w:rPr>
        <w:footnoteReference w:id="28"/>
      </w:r>
      <w:r w:rsidRPr="006C69B9">
        <w:rPr>
          <w:rFonts w:ascii="Calibri" w:eastAsia="Calibri" w:hAnsi="Calibri" w:cs="Times New Roman"/>
          <w:lang w:val="bs-Latn-BA"/>
        </w:rPr>
        <w:t xml:space="preserve"> Prema dostupnim podacima uslugama odvoza komunalnog otpada obuhvaćeno je oko 77% kućanstava iz urbanih i jednog dijela pristupačnih ruralnih područja</w:t>
      </w:r>
      <w:r w:rsidRPr="006C69B9">
        <w:rPr>
          <w:rFonts w:ascii="Calibri" w:eastAsia="Calibri" w:hAnsi="Calibri" w:cs="Times New Roman"/>
          <w:vertAlign w:val="superscript"/>
          <w:lang w:val="bs-Latn-BA"/>
        </w:rPr>
        <w:footnoteReference w:id="29"/>
      </w:r>
      <w:r w:rsidRPr="006C69B9">
        <w:rPr>
          <w:rFonts w:ascii="Calibri" w:eastAsia="Calibri" w:hAnsi="Calibri" w:cs="Times New Roman"/>
          <w:lang w:val="bs-Latn-BA"/>
        </w:rPr>
        <w:t>, od čega se razina reciklaže procjenjuje na 3%</w:t>
      </w:r>
      <w:r w:rsidRPr="006C69B9">
        <w:rPr>
          <w:rFonts w:ascii="Calibri" w:eastAsia="Calibri" w:hAnsi="Calibri" w:cs="Times New Roman"/>
          <w:vertAlign w:val="superscript"/>
          <w:lang w:val="bs-Latn-BA"/>
        </w:rPr>
        <w:footnoteReference w:id="30"/>
      </w:r>
      <w:r w:rsidRPr="006C69B9">
        <w:rPr>
          <w:rFonts w:ascii="Calibri" w:eastAsia="Calibri" w:hAnsi="Calibri" w:cs="Times New Roman"/>
          <w:lang w:val="bs-Latn-BA"/>
        </w:rPr>
        <w:t>. Otpad iz postrojenja koja se nalaze na području HNŽ-a prema dostupnim podacima imaju nešto veći stupanj reciklaže, što se prvenstveno odnosi na opasni otpad i otpad koji se odlaže van lokacije postrojenja u BiH.</w:t>
      </w:r>
      <w:r w:rsidRPr="006C69B9">
        <w:rPr>
          <w:rFonts w:ascii="Calibri" w:eastAsia="Calibri" w:hAnsi="Calibri" w:cs="Times New Roman"/>
          <w:vertAlign w:val="superscript"/>
          <w:lang w:val="bs-Latn-BA"/>
        </w:rPr>
        <w:footnoteReference w:id="31"/>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Proizvodnja otpada se značajno razlikuje među gradovima/općinama, a u pravilu je veća u urbanim središtima. Prikupljanje, prijevoz i zbrinjavanje otpada uglavnom je neselektivnog karaktera. Odlagališta otpada uglavnom su otvorenoga tipa, smještena u prirodnim uvalama, rasjedima i često nisu propisno sanitarno uređena (s iznimkom odlagališta Uborak). Otpad iz dijela kućanstava koja nisu pokrivena uslugama odvoza uglavnom se odlaže na neuređenim (ilegalnim, divljim) odlagalištima, koje se povremeno spaljuju, što predstavlja ozbiljan okolišni i zdravstveni problem, obzirom da su često u blizini naselja i vodotoka. Prema dostupnim podacima na području HNŽ-a prisutan je veliki broj ilegalnih odlagališta, koja su samo djelomično ili nisu uopće sanirana. Povećanje obima organiziranog odvoza otpada u Županiji, zasigurno bi doprinijelo smanjenju broja divljih odlagališta otpada. Osim javnih komunalnih poduzeća na razini JLS, u upravljanju otpadom sudjeluju i drugi subjekti. U proteklom periodu (2003. – 2018.) izdane su i okolišne dozvole iz mjerodavnosti MTTO HNŽ-a za aktivnosti male privrede u upravljanju otpadom za ukupno 10 poduzeća</w:t>
      </w:r>
      <w:r w:rsidRPr="006C69B9">
        <w:rPr>
          <w:rFonts w:ascii="Calibri" w:eastAsia="Calibri" w:hAnsi="Calibri" w:cs="Times New Roman"/>
          <w:vertAlign w:val="superscript"/>
          <w:lang w:val="bs-Latn-BA"/>
        </w:rPr>
        <w:footnoteReference w:id="32"/>
      </w:r>
      <w:r w:rsidRPr="006C69B9">
        <w:rPr>
          <w:rFonts w:ascii="Calibri" w:eastAsia="Calibri" w:hAnsi="Calibri" w:cs="Times New Roman"/>
          <w:lang w:val="bs-Latn-BA"/>
        </w:rPr>
        <w:t>.</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Grafikon 19 . Proizvodnja komunalnog otpada i pokrivenost uslugom odvoza otpada</w:t>
      </w:r>
    </w:p>
    <w:p w:rsidR="006C69B9" w:rsidRPr="006C69B9" w:rsidRDefault="006C69B9" w:rsidP="006C69B9">
      <w:pPr>
        <w:spacing w:after="100" w:line="276" w:lineRule="auto"/>
        <w:jc w:val="center"/>
        <w:rPr>
          <w:rFonts w:ascii="Calibri" w:eastAsia="Calibri" w:hAnsi="Calibri" w:cs="Times New Roman"/>
          <w:lang w:val="bs-Latn-BA"/>
        </w:rPr>
      </w:pPr>
      <w:r w:rsidRPr="006C69B9">
        <w:rPr>
          <w:rFonts w:ascii="Calibri" w:eastAsia="Calibri" w:hAnsi="Calibri" w:cs="Times New Roman"/>
          <w:noProof/>
          <w:lang w:eastAsia="hr-HR"/>
        </w:rPr>
        <w:drawing>
          <wp:inline distT="0" distB="0" distL="0" distR="0">
            <wp:extent cx="4654477" cy="2520950"/>
            <wp:effectExtent l="0" t="0" r="0" b="0"/>
            <wp:docPr id="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srcRect b="2378"/>
                    <a:stretch/>
                  </pic:blipFill>
                  <pic:spPr bwMode="auto">
                    <a:xfrm>
                      <a:off x="0" y="0"/>
                      <a:ext cx="4700580" cy="2545920"/>
                    </a:xfrm>
                    <a:prstGeom prst="rect">
                      <a:avLst/>
                    </a:prstGeom>
                    <a:noFill/>
                    <a:ln>
                      <a:noFill/>
                    </a:ln>
                  </pic:spPr>
                </pic:pic>
              </a:graphicData>
            </a:graphic>
          </wp:inline>
        </w:drawing>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81. Odlaganje i tretman otpada iz postrojenja u HNŽ-u (razdoblje 2013.-2018.)</w:t>
      </w:r>
    </w:p>
    <w:tbl>
      <w:tblPr>
        <w:tblStyle w:val="MediumGrid3-Accent51"/>
        <w:tblW w:w="0" w:type="auto"/>
        <w:tblInd w:w="-436" w:type="dxa"/>
        <w:tblLook w:val="04A0"/>
      </w:tblPr>
      <w:tblGrid>
        <w:gridCol w:w="2824"/>
        <w:gridCol w:w="1126"/>
        <w:gridCol w:w="1126"/>
        <w:gridCol w:w="1012"/>
        <w:gridCol w:w="1126"/>
        <w:gridCol w:w="1126"/>
        <w:gridCol w:w="1126"/>
      </w:tblGrid>
      <w:tr w:rsidR="006C69B9" w:rsidRPr="006C69B9" w:rsidTr="006C69B9">
        <w:trPr>
          <w:cnfStyle w:val="100000000000"/>
        </w:trPr>
        <w:tc>
          <w:tcPr>
            <w:cnfStyle w:val="001000000000"/>
            <w:tcW w:w="2824" w:type="dxa"/>
          </w:tcPr>
          <w:p w:rsidR="006C69B9" w:rsidRPr="006C69B9" w:rsidRDefault="006C69B9" w:rsidP="006C69B9">
            <w:pPr>
              <w:jc w:val="center"/>
              <w:rPr>
                <w:rFonts w:ascii="Calibri" w:eastAsia="Calibri" w:hAnsi="Calibri" w:cs="Times New Roman"/>
                <w:sz w:val="20"/>
                <w:szCs w:val="20"/>
                <w:lang w:val="bs-Latn-BA"/>
              </w:rPr>
            </w:pPr>
          </w:p>
        </w:tc>
        <w:tc>
          <w:tcPr>
            <w:tcW w:w="112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2013.</w:t>
            </w:r>
          </w:p>
        </w:tc>
        <w:tc>
          <w:tcPr>
            <w:tcW w:w="112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2014.</w:t>
            </w:r>
          </w:p>
        </w:tc>
        <w:tc>
          <w:tcPr>
            <w:tcW w:w="1012"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w:t>
            </w:r>
          </w:p>
        </w:tc>
        <w:tc>
          <w:tcPr>
            <w:tcW w:w="112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w:t>
            </w:r>
          </w:p>
        </w:tc>
        <w:tc>
          <w:tcPr>
            <w:tcW w:w="112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w:t>
            </w:r>
          </w:p>
        </w:tc>
        <w:tc>
          <w:tcPr>
            <w:tcW w:w="112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w:t>
            </w:r>
          </w:p>
        </w:tc>
      </w:tr>
      <w:tr w:rsidR="006C69B9" w:rsidRPr="006C69B9" w:rsidTr="006C69B9">
        <w:trPr>
          <w:cnfStyle w:val="000000100000"/>
        </w:trPr>
        <w:tc>
          <w:tcPr>
            <w:cnfStyle w:val="001000000000"/>
            <w:tcW w:w="2824"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Opasni otpad (t/god)</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57,67</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52,43</w:t>
            </w:r>
          </w:p>
        </w:tc>
        <w:tc>
          <w:tcPr>
            <w:tcW w:w="101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2.066,94</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4.120,10</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2.087,25</w:t>
            </w:r>
          </w:p>
        </w:tc>
      </w:tr>
      <w:tr w:rsidR="006C69B9" w:rsidRPr="006C69B9" w:rsidTr="006C69B9">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Odloženi (%)</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98,2</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76,5</w:t>
            </w:r>
          </w:p>
        </w:tc>
        <w:tc>
          <w:tcPr>
            <w:tcW w:w="101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91,6</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99,9</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90,2</w:t>
            </w:r>
          </w:p>
        </w:tc>
      </w:tr>
      <w:tr w:rsidR="006C69B9" w:rsidRPr="006C69B9" w:rsidTr="006C69B9">
        <w:trPr>
          <w:cnfStyle w:val="000000100000"/>
        </w:trPr>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Reciklirani (%)</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23,5</w:t>
            </w:r>
          </w:p>
        </w:tc>
        <w:tc>
          <w:tcPr>
            <w:tcW w:w="1012"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8,4</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0,1</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9,8</w:t>
            </w:r>
          </w:p>
        </w:tc>
      </w:tr>
      <w:tr w:rsidR="006C69B9" w:rsidRPr="006C69B9" w:rsidTr="006C69B9">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Odlaganje otpada unutar lokacije postrojenja (t/god)</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53,39</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18.491,10</w:t>
            </w:r>
          </w:p>
        </w:tc>
        <w:tc>
          <w:tcPr>
            <w:tcW w:w="1012"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775,61</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171,16</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3.372</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1.934,30</w:t>
            </w:r>
          </w:p>
        </w:tc>
      </w:tr>
      <w:tr w:rsidR="006C69B9" w:rsidRPr="006C69B9" w:rsidTr="006C69B9">
        <w:trPr>
          <w:cnfStyle w:val="000000100000"/>
        </w:trPr>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Odloženi (%)</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90,3</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3,0*</w:t>
            </w:r>
          </w:p>
        </w:tc>
        <w:tc>
          <w:tcPr>
            <w:tcW w:w="1012"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92,8</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99,4</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99,3</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99,9</w:t>
            </w:r>
          </w:p>
        </w:tc>
      </w:tr>
      <w:tr w:rsidR="006C69B9" w:rsidRPr="006C69B9" w:rsidTr="006C69B9">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Reciklirani (%)</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9,7</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97,0*</w:t>
            </w:r>
          </w:p>
        </w:tc>
        <w:tc>
          <w:tcPr>
            <w:tcW w:w="1012"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7,2</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0,6</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0,7</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0,1</w:t>
            </w:r>
          </w:p>
        </w:tc>
      </w:tr>
      <w:tr w:rsidR="006C69B9" w:rsidRPr="006C69B9" w:rsidTr="006C69B9">
        <w:trPr>
          <w:cnfStyle w:val="000000100000"/>
        </w:trPr>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Odlaganje otpada van lokacije postrojenja (t/god)</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13.963,63</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9.960,32</w:t>
            </w:r>
          </w:p>
        </w:tc>
        <w:tc>
          <w:tcPr>
            <w:tcW w:w="1012"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8.675,81</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13.255,42</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13.548,73</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13.331,84</w:t>
            </w:r>
          </w:p>
        </w:tc>
      </w:tr>
      <w:tr w:rsidR="006C69B9" w:rsidRPr="006C69B9" w:rsidTr="006C69B9">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Odloženi (%)</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87,4</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85,8</w:t>
            </w:r>
          </w:p>
        </w:tc>
        <w:tc>
          <w:tcPr>
            <w:tcW w:w="1012"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67,7</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28,8*</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77,9</w:t>
            </w:r>
          </w:p>
        </w:tc>
        <w:tc>
          <w:tcPr>
            <w:tcW w:w="112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80,4</w:t>
            </w:r>
          </w:p>
        </w:tc>
      </w:tr>
      <w:tr w:rsidR="006C69B9" w:rsidRPr="006C69B9" w:rsidTr="006C69B9">
        <w:trPr>
          <w:cnfStyle w:val="000000100000"/>
        </w:trPr>
        <w:tc>
          <w:tcPr>
            <w:cnfStyle w:val="001000000000"/>
            <w:tcW w:w="2824"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Reciklirani (%)</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12,6</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14,2</w:t>
            </w:r>
          </w:p>
        </w:tc>
        <w:tc>
          <w:tcPr>
            <w:tcW w:w="1012"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32,3</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color w:val="000000"/>
                <w:sz w:val="20"/>
                <w:szCs w:val="20"/>
                <w:lang w:val="bs-Latn-BA"/>
              </w:rPr>
            </w:pPr>
            <w:r w:rsidRPr="006C69B9">
              <w:rPr>
                <w:rFonts w:ascii="Calibri" w:eastAsia="Calibri" w:hAnsi="Calibri" w:cs="Times New Roman"/>
                <w:color w:val="000000"/>
                <w:sz w:val="20"/>
                <w:szCs w:val="20"/>
                <w:lang w:val="bs-Latn-BA"/>
              </w:rPr>
              <w:t>71,2*</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22,1</w:t>
            </w:r>
          </w:p>
        </w:tc>
        <w:tc>
          <w:tcPr>
            <w:tcW w:w="112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19,6</w:t>
            </w:r>
          </w:p>
        </w:tc>
      </w:tr>
    </w:tbl>
    <w:p w:rsidR="006C69B9" w:rsidRPr="006C69B9" w:rsidRDefault="006C69B9" w:rsidP="006C69B9">
      <w:pPr>
        <w:spacing w:after="100" w:line="276" w:lineRule="auto"/>
        <w:jc w:val="both"/>
        <w:rPr>
          <w:rFonts w:ascii="Calibri" w:eastAsia="Calibri" w:hAnsi="Calibri" w:cs="Times New Roman"/>
          <w:b/>
          <w:i/>
          <w:sz w:val="18"/>
          <w:szCs w:val="18"/>
          <w:lang w:val="bs-Latn-BA"/>
        </w:rPr>
      </w:pPr>
      <w:r w:rsidRPr="006C69B9">
        <w:rPr>
          <w:rFonts w:ascii="Calibri" w:eastAsia="Calibri" w:hAnsi="Calibri" w:cs="Times New Roman"/>
          <w:b/>
          <w:i/>
          <w:sz w:val="18"/>
          <w:szCs w:val="18"/>
          <w:lang w:val="bs-Latn-BA"/>
        </w:rPr>
        <w:t>Izvor podataka: Registar o postrojenjima i zagađivanjima Federalnog ministarstva okoliša i turizma (www.</w:t>
      </w:r>
      <w:r w:rsidRPr="006C69B9">
        <w:rPr>
          <w:rFonts w:ascii="Calibri" w:eastAsia="Calibri" w:hAnsi="Calibri" w:cs="Times New Roman"/>
          <w:lang w:val="bs-Latn-BA"/>
        </w:rPr>
        <w:t xml:space="preserve"> </w:t>
      </w:r>
      <w:r w:rsidRPr="006C69B9">
        <w:rPr>
          <w:rFonts w:ascii="Calibri" w:eastAsia="Calibri" w:hAnsi="Calibri" w:cs="Times New Roman"/>
          <w:b/>
          <w:i/>
          <w:sz w:val="18"/>
          <w:szCs w:val="18"/>
          <w:lang w:val="bs-Latn-BA"/>
        </w:rPr>
        <w:t>fmoit.gov.ba) (*podaci odstupaju od prosijeka)</w:t>
      </w: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100" w:name="_Toc54530592"/>
      <w:bookmarkStart w:id="101" w:name="_Toc57573242"/>
      <w:r w:rsidRPr="006C69B9">
        <w:rPr>
          <w:rFonts w:ascii="Calibri" w:eastAsia="Calibri" w:hAnsi="Calibri" w:cs="Times New Roman"/>
          <w:b/>
          <w:bCs/>
          <w:iCs/>
          <w:color w:val="31849B"/>
          <w:sz w:val="24"/>
          <w:szCs w:val="28"/>
          <w:lang w:eastAsia="hr-HR"/>
        </w:rPr>
        <w:t>Prometna infrastruktura</w:t>
      </w:r>
      <w:bookmarkEnd w:id="100"/>
      <w:bookmarkEnd w:id="101"/>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Zahvaljujući svom položaju, Hercegovačko-neretvanska županija predstavlja veoma važan prometno-strateški pravac, koji povezuje kontinentalni središnji dio Bosne i Hercegovine s Jadranskim morem. Županija ima zastupljene sve vidove prometa, što je komparativna prednost i potencijal za daljnji razvoj, prije svega proizvodnog i uslužnog sektora HNŽ-a.</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Okosnicu međunarodnih prometnih tokova u Županiji čini Transeuropski koridor Vc, a četiri od ukupno devet dionica buduće autoceste u završnom dijelu prolazi kroz HNŽ, od Konjica do južne granice s Republikom Hrvatskom, u Bijači, povezujući kopneni dio BiH s morem i pomorskom lukom Ploče. Najjužnija poddionica Zvirovići</w:t>
      </w:r>
      <w:r w:rsidRPr="006C69B9">
        <w:rPr>
          <w:rFonts w:ascii="Calibri" w:eastAsia="Calibri" w:hAnsi="Calibri" w:cs="Times New Roman"/>
          <w:color w:val="FF0000"/>
          <w:lang w:val="bs-Latn-BA"/>
        </w:rPr>
        <w:t xml:space="preserve"> </w:t>
      </w:r>
      <w:r w:rsidRPr="006C69B9">
        <w:rPr>
          <w:rFonts w:ascii="Calibri" w:eastAsia="Calibri" w:hAnsi="Calibri" w:cs="Times New Roman"/>
          <w:lang w:val="bs-Latn-BA"/>
        </w:rPr>
        <w:t>– Bijača (dionica Počitelj-Bijača) duljine 10,25 km je u funkciji, a na području HNŽ-a u tijeku su radovi ili pripremne radnje na još dvije poddionice: poddionici Počitelj-Zvirovići duljine 11,07 km (dionica Počitelj-Bijača) te poddionici Buna-Počitelj, duljine 7,2 km (dionica Mostar jug-Počitelj)</w:t>
      </w:r>
      <w:r w:rsidRPr="006C69B9">
        <w:rPr>
          <w:rFonts w:ascii="Calibri" w:eastAsia="Calibri" w:hAnsi="Calibri" w:cs="Times New Roman"/>
          <w:vertAlign w:val="superscript"/>
          <w:lang w:val="bs-Latn-BA"/>
        </w:rPr>
        <w:footnoteReference w:id="33"/>
      </w:r>
      <w:r w:rsidRPr="006C69B9">
        <w:rPr>
          <w:rFonts w:ascii="Calibri" w:eastAsia="Calibri" w:hAnsi="Calibri" w:cs="Times New Roman"/>
          <w:lang w:val="bs-Latn-BA"/>
        </w:rPr>
        <w:t xml:space="preserve">. Završni dio Koridora Vc od Počitelja do Bijače ujedno je dio planirane Jadransko-jonske autoceste (JJAC). Zračni promet u Županiji obavlja se putem Međunarodne zračne </w:t>
      </w:r>
      <w:r w:rsidRPr="006C69B9">
        <w:rPr>
          <w:rFonts w:ascii="Calibri" w:eastAsia="Calibri" w:hAnsi="Calibri" w:cs="Times New Roman"/>
          <w:lang w:val="bs-Latn-BA"/>
        </w:rPr>
        <w:lastRenderedPageBreak/>
        <w:t>luke Mostar, dok željeznički promet karakterizira jednokolosiječna pruga koja prati tok Neretve te povezuje željezničku mrežu Europe s lukom Ploče.</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Glavni cestovni koridor u Županiji je magistralna cesta M-17 Bradina-Konjic-Jablanica-Mostar-Čapljina-Metković, dužine 126,25 km. Tehnički elementi ove ceste su uglavnom dobri, ali su nužna daljnja poboljšanja prometne sposobnosti i sigurnosti</w:t>
      </w:r>
      <w:r w:rsidRPr="006C69B9">
        <w:rPr>
          <w:rFonts w:ascii="Calibri" w:eastAsia="Calibri" w:hAnsi="Calibri" w:cs="Times New Roman"/>
          <w:vertAlign w:val="superscript"/>
          <w:lang w:val="bs-Latn-BA"/>
        </w:rPr>
        <w:footnoteReference w:id="34"/>
      </w:r>
      <w:r w:rsidRPr="006C69B9">
        <w:rPr>
          <w:rFonts w:ascii="Calibri" w:eastAsia="Calibri" w:hAnsi="Calibri" w:cs="Times New Roman"/>
          <w:lang w:val="bs-Latn-BA"/>
        </w:rPr>
        <w:t>. Ukupna dužina magistralnih i regionalnih cesta u HNŽ-u u 2019. godini iznosila je 752,97 km</w:t>
      </w:r>
      <w:r w:rsidRPr="006C69B9">
        <w:rPr>
          <w:rFonts w:ascii="Calibri" w:eastAsia="Calibri" w:hAnsi="Calibri" w:cs="Times New Roman"/>
          <w:vertAlign w:val="superscript"/>
          <w:lang w:val="bs-Latn-BA"/>
        </w:rPr>
        <w:footnoteReference w:id="35"/>
      </w:r>
      <w:r w:rsidRPr="006C69B9">
        <w:rPr>
          <w:rFonts w:ascii="Calibri" w:eastAsia="Calibri" w:hAnsi="Calibri" w:cs="Times New Roman"/>
          <w:lang w:val="bs-Latn-BA"/>
        </w:rPr>
        <w:t>. Magistralne ceste su ključne prometnice u Županiji kojima su povezana gotovo sva administrativna središta, osim Ravnog. Ukupna dužina magistralnih cesta u 2019. godini iznosila je 403,97 km, s prosječnom gustoćom od 9,18 km/100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a dužina regionalnih cesta iznosila je 349 km, s gustoćom od 7,93 km/100 km</w:t>
      </w:r>
      <w:r w:rsidRPr="006C69B9">
        <w:rPr>
          <w:rFonts w:ascii="Calibri" w:eastAsia="Calibri" w:hAnsi="Calibri" w:cs="Times New Roman"/>
          <w:vertAlign w:val="superscript"/>
          <w:lang w:val="bs-Latn-BA"/>
        </w:rPr>
        <w:t>2</w:t>
      </w:r>
      <w:r w:rsidRPr="006C69B9">
        <w:rPr>
          <w:rFonts w:ascii="Calibri" w:eastAsia="Calibri" w:hAnsi="Calibri" w:cs="Times New Roman"/>
          <w:lang w:val="bs-Latn-BA"/>
        </w:rPr>
        <w:t>. U odnosu na 2018. godinu ukupna dužina magistralnih i regionalnih cesta povećana je za 43,97 km. Mreža lokalnih cesta je bolja, a njihova je najveća gustoća na području općina Prozor-Rama i Čitluk, a najmanja u općini Ravno</w:t>
      </w:r>
      <w:r w:rsidRPr="006C69B9">
        <w:rPr>
          <w:rFonts w:ascii="Calibri" w:eastAsia="Calibri" w:hAnsi="Calibri" w:cs="Times New Roman"/>
          <w:vertAlign w:val="superscript"/>
          <w:lang w:val="bs-Latn-BA"/>
        </w:rPr>
        <w:footnoteReference w:id="36"/>
      </w:r>
      <w:r w:rsidRPr="006C69B9">
        <w:rPr>
          <w:rFonts w:ascii="Calibri" w:eastAsia="Calibri" w:hAnsi="Calibri" w:cs="Times New Roman"/>
          <w:lang w:val="bs-Latn-BA"/>
        </w:rPr>
        <w:t xml:space="preserve">. </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82. Cestovna infrastruktura u HNŽ-u u 2018. godini</w:t>
      </w:r>
    </w:p>
    <w:tbl>
      <w:tblPr>
        <w:tblStyle w:val="MediumGrid3-Accent51"/>
        <w:tblW w:w="9498" w:type="dxa"/>
        <w:tblInd w:w="-436" w:type="dxa"/>
        <w:tblLook w:val="04A0"/>
      </w:tblPr>
      <w:tblGrid>
        <w:gridCol w:w="2144"/>
        <w:gridCol w:w="1320"/>
        <w:gridCol w:w="1280"/>
        <w:gridCol w:w="1320"/>
        <w:gridCol w:w="1875"/>
        <w:gridCol w:w="1559"/>
      </w:tblGrid>
      <w:tr w:rsidR="006C69B9" w:rsidRPr="006C69B9" w:rsidTr="006C69B9">
        <w:trPr>
          <w:cnfStyle w:val="100000000000"/>
          <w:trHeight w:val="666"/>
        </w:trPr>
        <w:tc>
          <w:tcPr>
            <w:cnfStyle w:val="001000000000"/>
            <w:tcW w:w="2144" w:type="dxa"/>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Cestovna infrastruktura (km)</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Željezničke pruge</w:t>
            </w:r>
          </w:p>
        </w:tc>
        <w:tc>
          <w:tcPr>
            <w:tcW w:w="128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Magistralni putovi</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Regionalni putovi</w:t>
            </w:r>
          </w:p>
        </w:tc>
        <w:tc>
          <w:tcPr>
            <w:tcW w:w="1875"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Ukupno magistralni i regionalni putovi</w:t>
            </w:r>
          </w:p>
        </w:tc>
        <w:tc>
          <w:tcPr>
            <w:tcW w:w="1559"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Lokalni putovi</w:t>
            </w:r>
          </w:p>
        </w:tc>
      </w:tr>
      <w:tr w:rsidR="006C69B9" w:rsidRPr="006C69B9" w:rsidTr="006C69B9">
        <w:trPr>
          <w:cnfStyle w:val="000000100000"/>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Čapljina</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21</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47</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30</w:t>
            </w:r>
          </w:p>
        </w:tc>
        <w:tc>
          <w:tcPr>
            <w:tcW w:w="1875"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77</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96</w:t>
            </w:r>
          </w:p>
        </w:tc>
      </w:tr>
      <w:tr w:rsidR="006C69B9" w:rsidRPr="006C69B9" w:rsidTr="006C69B9">
        <w:trPr>
          <w:trHeight w:val="33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Čitluk</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sz w:val="20"/>
                <w:szCs w:val="20"/>
                <w:lang w:val="bs-Latn-BA" w:eastAsia="hr-HR"/>
              </w:rPr>
              <w:t>12*</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w:t>
            </w:r>
          </w:p>
        </w:tc>
        <w:tc>
          <w:tcPr>
            <w:tcW w:w="1875"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88</w:t>
            </w:r>
          </w:p>
        </w:tc>
      </w:tr>
      <w:tr w:rsidR="006C69B9" w:rsidRPr="006C69B9" w:rsidTr="006C69B9">
        <w:trPr>
          <w:cnfStyle w:val="000000100000"/>
          <w:trHeight w:val="33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Jablanica</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17</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30</w:t>
            </w:r>
          </w:p>
        </w:tc>
        <w:tc>
          <w:tcPr>
            <w:tcW w:w="1875"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59</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w:t>
            </w:r>
          </w:p>
        </w:tc>
      </w:tr>
      <w:tr w:rsidR="006C69B9" w:rsidRPr="006C69B9" w:rsidTr="006C69B9">
        <w:trPr>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Konjic</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39</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29</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115</w:t>
            </w:r>
          </w:p>
        </w:tc>
        <w:tc>
          <w:tcPr>
            <w:tcW w:w="1875"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144</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369</w:t>
            </w:r>
          </w:p>
        </w:tc>
      </w:tr>
      <w:tr w:rsidR="006C69B9" w:rsidRPr="006C69B9" w:rsidTr="006C69B9">
        <w:trPr>
          <w:cnfStyle w:val="000000100000"/>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Mostar</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64</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90</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50</w:t>
            </w:r>
          </w:p>
        </w:tc>
        <w:tc>
          <w:tcPr>
            <w:tcW w:w="1875"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140</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256</w:t>
            </w:r>
          </w:p>
        </w:tc>
      </w:tr>
      <w:tr w:rsidR="006C69B9" w:rsidRPr="006C69B9" w:rsidTr="006C69B9">
        <w:trPr>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Neum</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44</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12</w:t>
            </w:r>
          </w:p>
        </w:tc>
        <w:tc>
          <w:tcPr>
            <w:tcW w:w="1875"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89</w:t>
            </w:r>
          </w:p>
        </w:tc>
      </w:tr>
      <w:tr w:rsidR="006C69B9" w:rsidRPr="006C69B9" w:rsidTr="006C69B9">
        <w:trPr>
          <w:cnfStyle w:val="000000100000"/>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Prozor-Rama</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53</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51</w:t>
            </w:r>
          </w:p>
        </w:tc>
        <w:tc>
          <w:tcPr>
            <w:tcW w:w="1875"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104</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371</w:t>
            </w:r>
          </w:p>
        </w:tc>
      </w:tr>
      <w:tr w:rsidR="006C69B9" w:rsidRPr="006C69B9" w:rsidTr="006C69B9">
        <w:trPr>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Ravno</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23</w:t>
            </w:r>
          </w:p>
        </w:tc>
        <w:tc>
          <w:tcPr>
            <w:tcW w:w="1875"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23</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41</w:t>
            </w:r>
          </w:p>
        </w:tc>
      </w:tr>
      <w:tr w:rsidR="006C69B9" w:rsidRPr="006C69B9" w:rsidTr="006C69B9">
        <w:trPr>
          <w:cnfStyle w:val="000000100000"/>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Stolac</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0</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35</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21</w:t>
            </w:r>
          </w:p>
        </w:tc>
        <w:tc>
          <w:tcPr>
            <w:tcW w:w="1875"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56</w:t>
            </w:r>
          </w:p>
        </w:tc>
        <w:tc>
          <w:tcPr>
            <w:tcW w:w="1559"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98</w:t>
            </w:r>
          </w:p>
        </w:tc>
      </w:tr>
      <w:tr w:rsidR="006C69B9" w:rsidRPr="006C69B9" w:rsidTr="006C69B9">
        <w:trPr>
          <w:trHeight w:val="290"/>
        </w:trPr>
        <w:tc>
          <w:tcPr>
            <w:cnfStyle w:val="001000000000"/>
            <w:tcW w:w="214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Ukupno:</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146</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339</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382</w:t>
            </w:r>
          </w:p>
        </w:tc>
        <w:tc>
          <w:tcPr>
            <w:tcW w:w="1875" w:type="dxa"/>
            <w:shd w:val="clear" w:color="auto" w:fill="DAEEF3"/>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709</w:t>
            </w:r>
          </w:p>
        </w:tc>
        <w:tc>
          <w:tcPr>
            <w:tcW w:w="1559" w:type="dxa"/>
            <w:shd w:val="clear" w:color="auto" w:fill="DAEEF3"/>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1.458</w:t>
            </w:r>
          </w:p>
        </w:tc>
      </w:tr>
    </w:tbl>
    <w:p w:rsidR="006C69B9" w:rsidRPr="006C69B9" w:rsidRDefault="006C69B9" w:rsidP="006C69B9">
      <w:pPr>
        <w:spacing w:after="100" w:line="276" w:lineRule="auto"/>
        <w:jc w:val="center"/>
        <w:rPr>
          <w:rFonts w:ascii="Calibri" w:eastAsia="Calibri" w:hAnsi="Calibri" w:cs="Times New Roman"/>
          <w:i/>
          <w:lang w:val="bs-Latn-BA"/>
        </w:rPr>
      </w:pPr>
      <w:r w:rsidRPr="006C69B9">
        <w:rPr>
          <w:rFonts w:ascii="Calibri" w:eastAsia="Calibri" w:hAnsi="Calibri" w:cs="Times New Roman"/>
          <w:b/>
          <w:i/>
          <w:sz w:val="18"/>
          <w:szCs w:val="18"/>
          <w:lang w:val="bs-Latn-BA"/>
        </w:rPr>
        <w:t>Izvor podataka: Federalni zavod za programiranje razvoja, 2019 (* Strategija razvitka Općine Čitluk)</w:t>
      </w:r>
    </w:p>
    <w:p w:rsidR="006C69B9" w:rsidRPr="006C69B9" w:rsidRDefault="006C69B9" w:rsidP="006C69B9">
      <w:pPr>
        <w:spacing w:after="100" w:line="276" w:lineRule="auto"/>
        <w:jc w:val="both"/>
        <w:rPr>
          <w:rFonts w:ascii="Calibri" w:eastAsia="Calibri" w:hAnsi="Calibri" w:cs="Times New Roman"/>
          <w:i/>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Cestovna mreža u Županiji je dobro razvijena i dobrim dijelom modernizirana, no pojedini dijelovi cestovne infrastrukture, nisu primjereni prometnom opterećenju. U narednom planskom periodu treba osigurati njihovo kontinuirano održavanje, a usporedo s tim i postupno proširenje, odnosno rekonstrukciju. Cestovni promet dominira u Županiji, a osobito je značajan za prijevoz putnika i roba. Količina prevezene robe u 2019. godini iznosila je 160.826 tisuća tonskih kilometara te bilježi značajan rast u odnosu na 2015. godinu. Nasuprot tomu, cestovni prijevoz putnika u proteklom petogodišnjem periodu je u padu. Broj registriranih vozila na području Hercegovačko-neretvanske županije je u stalnom porastu, a osobito udio vozila starijih od 15 godina.  U 2019. godini registrirano je ukupno 76.601 cestovno motorno i priključno vozilo, od čega je najveći broj registriranih putničkih vozila (86,81%). Najveći broj vozila registrirano je području Grada Mostara (54,18%), a najmanje u općini Neum (1,85%)</w:t>
      </w:r>
      <w:r w:rsidRPr="006C69B9">
        <w:rPr>
          <w:rFonts w:ascii="Calibri" w:eastAsia="Calibri" w:hAnsi="Calibri" w:cs="Times New Roman"/>
          <w:vertAlign w:val="superscript"/>
          <w:lang w:val="bs-Latn-BA"/>
        </w:rPr>
        <w:footnoteReference w:id="37"/>
      </w:r>
      <w:r w:rsidRPr="006C69B9">
        <w:rPr>
          <w:rFonts w:ascii="Calibri" w:eastAsia="Calibri" w:hAnsi="Calibri" w:cs="Times New Roman"/>
          <w:lang w:val="bs-Latn-BA"/>
        </w:rPr>
        <w:t xml:space="preserve">. </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lastRenderedPageBreak/>
        <w:t>Tabela 83. Cestovni prijevoz robe i putnika u HNŽ-u</w:t>
      </w:r>
    </w:p>
    <w:tbl>
      <w:tblPr>
        <w:tblStyle w:val="MediumGrid3-Accent51"/>
        <w:tblW w:w="9605" w:type="dxa"/>
        <w:tblLook w:val="04A0"/>
      </w:tblPr>
      <w:tblGrid>
        <w:gridCol w:w="2985"/>
        <w:gridCol w:w="1320"/>
        <w:gridCol w:w="1280"/>
        <w:gridCol w:w="1320"/>
        <w:gridCol w:w="1320"/>
        <w:gridCol w:w="1380"/>
      </w:tblGrid>
      <w:tr w:rsidR="006C69B9" w:rsidRPr="006C69B9" w:rsidTr="006C69B9">
        <w:trPr>
          <w:cnfStyle w:val="100000000000"/>
          <w:trHeight w:val="269"/>
        </w:trPr>
        <w:tc>
          <w:tcPr>
            <w:cnfStyle w:val="001000000000"/>
            <w:tcW w:w="2985" w:type="dxa"/>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Prijevoz robe i putnika</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2015.</w:t>
            </w:r>
          </w:p>
        </w:tc>
        <w:tc>
          <w:tcPr>
            <w:tcW w:w="128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2016.</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2017.</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2018.</w:t>
            </w:r>
          </w:p>
        </w:tc>
        <w:tc>
          <w:tcPr>
            <w:tcW w:w="138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2019.</w:t>
            </w:r>
          </w:p>
        </w:tc>
      </w:tr>
      <w:tr w:rsidR="006C69B9" w:rsidRPr="006C69B9" w:rsidTr="006C69B9">
        <w:trPr>
          <w:cnfStyle w:val="000000100000"/>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Cestovni prijevoz robe</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r>
      <w:tr w:rsidR="006C69B9" w:rsidRPr="006C69B9" w:rsidTr="006C69B9">
        <w:trPr>
          <w:trHeight w:val="33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Prijeđeni km vozila (u tis.)</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12.693</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15.174</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16.395</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16.833</w:t>
            </w:r>
          </w:p>
        </w:tc>
        <w:tc>
          <w:tcPr>
            <w:tcW w:w="13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18.108</w:t>
            </w:r>
          </w:p>
        </w:tc>
      </w:tr>
      <w:tr w:rsidR="006C69B9" w:rsidRPr="006C69B9" w:rsidTr="006C69B9">
        <w:trPr>
          <w:cnfStyle w:val="000000100000"/>
          <w:trHeight w:val="33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Prevezeno tona robe (u tis.)</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95</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262</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283</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266</w:t>
            </w:r>
          </w:p>
        </w:tc>
        <w:tc>
          <w:tcPr>
            <w:tcW w:w="13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289</w:t>
            </w:r>
          </w:p>
        </w:tc>
      </w:tr>
      <w:tr w:rsidR="006C69B9" w:rsidRPr="006C69B9" w:rsidTr="006C69B9">
        <w:trPr>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Tonski km (u tis.)</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57.517</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132.772</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147.545</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146.005</w:t>
            </w:r>
          </w:p>
        </w:tc>
        <w:tc>
          <w:tcPr>
            <w:tcW w:w="13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160.826</w:t>
            </w:r>
          </w:p>
        </w:tc>
      </w:tr>
      <w:tr w:rsidR="006C69B9" w:rsidRPr="006C69B9" w:rsidTr="006C69B9">
        <w:trPr>
          <w:cnfStyle w:val="000000100000"/>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Cestovni prijevoz putnika</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r>
      <w:tr w:rsidR="006C69B9" w:rsidRPr="006C69B9" w:rsidTr="006C69B9">
        <w:trPr>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Prijeđeni km vozila (u tis.)</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5.993</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5.925</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6.260</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5.541</w:t>
            </w:r>
          </w:p>
        </w:tc>
        <w:tc>
          <w:tcPr>
            <w:tcW w:w="13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5.287</w:t>
            </w:r>
          </w:p>
        </w:tc>
      </w:tr>
      <w:tr w:rsidR="006C69B9" w:rsidRPr="006C69B9" w:rsidTr="006C69B9">
        <w:trPr>
          <w:cnfStyle w:val="000000100000"/>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Prevezeni putnici (u tis.)</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931</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958</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928</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726</w:t>
            </w:r>
          </w:p>
        </w:tc>
        <w:tc>
          <w:tcPr>
            <w:tcW w:w="13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700</w:t>
            </w:r>
          </w:p>
        </w:tc>
      </w:tr>
      <w:tr w:rsidR="006C69B9" w:rsidRPr="006C69B9" w:rsidTr="006C69B9">
        <w:trPr>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Putnički km (u tis.)</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277.507</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273.514</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189.346</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158.920</w:t>
            </w:r>
          </w:p>
        </w:tc>
        <w:tc>
          <w:tcPr>
            <w:tcW w:w="1380" w:type="dxa"/>
            <w:shd w:val="clear" w:color="auto" w:fill="DAEEF3"/>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149.885</w:t>
            </w:r>
          </w:p>
        </w:tc>
      </w:tr>
      <w:tr w:rsidR="006C69B9" w:rsidRPr="006C69B9" w:rsidTr="006C69B9">
        <w:trPr>
          <w:cnfStyle w:val="000000100000"/>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Gradsko-prigradski prijevoz</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c>
          <w:tcPr>
            <w:tcW w:w="1380" w:type="dxa"/>
            <w:shd w:val="clear" w:color="auto" w:fill="DAEEF3"/>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p>
        </w:tc>
      </w:tr>
      <w:tr w:rsidR="006C69B9" w:rsidRPr="006C69B9" w:rsidTr="006C69B9">
        <w:trPr>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Prijeđeni km ukupno (u tis.)</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1.738</w:t>
            </w:r>
          </w:p>
        </w:tc>
        <w:tc>
          <w:tcPr>
            <w:tcW w:w="1280" w:type="dxa"/>
            <w:shd w:val="clear" w:color="auto" w:fill="DAEEF3"/>
            <w:noWrap/>
          </w:tcPr>
          <w:p w:rsidR="006C69B9" w:rsidRPr="006C69B9" w:rsidRDefault="006C69B9" w:rsidP="006C69B9">
            <w:pPr>
              <w:jc w:val="center"/>
              <w:cnfStyle w:val="0000000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1.739</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1.758</w:t>
            </w:r>
          </w:p>
        </w:tc>
        <w:tc>
          <w:tcPr>
            <w:tcW w:w="1320" w:type="dxa"/>
            <w:shd w:val="clear" w:color="auto" w:fill="DAEEF3"/>
            <w:noWrap/>
          </w:tcPr>
          <w:p w:rsidR="006C69B9" w:rsidRPr="006C69B9" w:rsidRDefault="006C69B9" w:rsidP="006C69B9">
            <w:pPr>
              <w:jc w:val="center"/>
              <w:cnfStyle w:val="0000000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1.732</w:t>
            </w:r>
          </w:p>
        </w:tc>
        <w:tc>
          <w:tcPr>
            <w:tcW w:w="1380" w:type="dxa"/>
            <w:shd w:val="clear" w:color="auto" w:fill="DAEEF3"/>
            <w:noWrap/>
          </w:tcPr>
          <w:p w:rsidR="006C69B9" w:rsidRPr="006C69B9" w:rsidRDefault="006C69B9" w:rsidP="006C69B9">
            <w:pPr>
              <w:jc w:val="center"/>
              <w:cnfStyle w:val="0000000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1.690</w:t>
            </w:r>
          </w:p>
        </w:tc>
      </w:tr>
      <w:tr w:rsidR="006C69B9" w:rsidRPr="006C69B9" w:rsidTr="006C69B9">
        <w:trPr>
          <w:cnfStyle w:val="000000100000"/>
          <w:trHeight w:val="290"/>
        </w:trPr>
        <w:tc>
          <w:tcPr>
            <w:cnfStyle w:val="001000000000"/>
            <w:tcW w:w="2985" w:type="dxa"/>
            <w:noWrap/>
          </w:tcPr>
          <w:p w:rsidR="006C69B9" w:rsidRPr="006C69B9" w:rsidRDefault="006C69B9" w:rsidP="006C69B9">
            <w:pP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Prevezeni putnici (u tis.)</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1.001</w:t>
            </w:r>
          </w:p>
        </w:tc>
        <w:tc>
          <w:tcPr>
            <w:tcW w:w="1280" w:type="dxa"/>
            <w:shd w:val="clear" w:color="auto" w:fill="DAEEF3"/>
            <w:noWrap/>
          </w:tcPr>
          <w:p w:rsidR="006C69B9" w:rsidRPr="006C69B9" w:rsidRDefault="006C69B9" w:rsidP="006C69B9">
            <w:pPr>
              <w:jc w:val="center"/>
              <w:cnfStyle w:val="0000001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920</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907</w:t>
            </w:r>
          </w:p>
        </w:tc>
        <w:tc>
          <w:tcPr>
            <w:tcW w:w="1320" w:type="dxa"/>
            <w:shd w:val="clear" w:color="auto" w:fill="DAEEF3"/>
            <w:noWrap/>
          </w:tcPr>
          <w:p w:rsidR="006C69B9" w:rsidRPr="006C69B9" w:rsidRDefault="006C69B9" w:rsidP="006C69B9">
            <w:pPr>
              <w:jc w:val="center"/>
              <w:cnfStyle w:val="000000100000"/>
              <w:rPr>
                <w:rFonts w:ascii="Calibri" w:eastAsia="Calibri" w:hAnsi="Calibri" w:cs="Times New Roman"/>
                <w:bCs/>
                <w:color w:val="000000"/>
                <w:sz w:val="20"/>
                <w:szCs w:val="20"/>
                <w:lang w:val="bs-Latn-BA" w:eastAsia="hr-HR"/>
              </w:rPr>
            </w:pPr>
            <w:r w:rsidRPr="006C69B9">
              <w:rPr>
                <w:rFonts w:ascii="Calibri" w:eastAsia="Calibri" w:hAnsi="Calibri" w:cs="Times New Roman"/>
                <w:bCs/>
                <w:color w:val="000000"/>
                <w:sz w:val="20"/>
                <w:szCs w:val="20"/>
                <w:lang w:val="bs-Latn-BA" w:eastAsia="hr-HR"/>
              </w:rPr>
              <w:t>850</w:t>
            </w:r>
          </w:p>
        </w:tc>
        <w:tc>
          <w:tcPr>
            <w:tcW w:w="1380" w:type="dxa"/>
            <w:shd w:val="clear" w:color="auto" w:fill="DAEEF3"/>
            <w:noWrap/>
          </w:tcPr>
          <w:p w:rsidR="006C69B9" w:rsidRPr="006C69B9" w:rsidRDefault="006C69B9" w:rsidP="006C69B9">
            <w:pPr>
              <w:jc w:val="center"/>
              <w:cnfStyle w:val="000000100000"/>
              <w:rPr>
                <w:rFonts w:ascii="Calibri" w:eastAsia="Calibri" w:hAnsi="Calibri" w:cs="Times New Roman"/>
                <w:bCs/>
                <w:color w:val="000000"/>
                <w:sz w:val="20"/>
                <w:szCs w:val="20"/>
                <w:lang w:val="bs-Latn-BA" w:eastAsia="hr-HR"/>
              </w:rPr>
            </w:pPr>
          </w:p>
        </w:tc>
      </w:tr>
    </w:tbl>
    <w:p w:rsidR="006C69B9" w:rsidRPr="006C69B9" w:rsidRDefault="006C69B9" w:rsidP="006C69B9">
      <w:pPr>
        <w:spacing w:after="100" w:line="276" w:lineRule="auto"/>
        <w:jc w:val="center"/>
        <w:rPr>
          <w:rFonts w:ascii="Calibri" w:eastAsia="Calibri" w:hAnsi="Calibri" w:cs="Times New Roman"/>
          <w:lang w:val="bs-Latn-BA"/>
        </w:rPr>
      </w:pPr>
      <w:r w:rsidRPr="006C69B9">
        <w:rPr>
          <w:rFonts w:ascii="Calibri" w:eastAsia="Calibri" w:hAnsi="Calibri" w:cs="Times New Roman"/>
          <w:b/>
          <w:i/>
          <w:sz w:val="18"/>
          <w:szCs w:val="18"/>
          <w:lang w:val="bs-Latn-BA"/>
        </w:rPr>
        <w:t>Izvor podataka: Federalni zavod za statistiku, 2020</w:t>
      </w:r>
    </w:p>
    <w:p w:rsidR="006C69B9" w:rsidRPr="006C69B9" w:rsidRDefault="006C69B9" w:rsidP="006C69B9">
      <w:pPr>
        <w:spacing w:after="100" w:line="276" w:lineRule="auto"/>
        <w:jc w:val="both"/>
        <w:rPr>
          <w:rFonts w:ascii="Calibri" w:eastAsia="Times New Roman" w:hAnsi="Calibri" w:cs="Calibri"/>
          <w:position w:val="-1"/>
          <w:lang w:val="bs-Latn-BA"/>
        </w:rPr>
      </w:pPr>
      <w:r w:rsidRPr="006C69B9">
        <w:rPr>
          <w:rFonts w:ascii="Calibri" w:eastAsia="Calibri" w:hAnsi="Calibri" w:cs="Times New Roman"/>
          <w:lang w:val="bs-Latn-BA"/>
        </w:rPr>
        <w:t xml:space="preserve">Ključni problemi s kojima se suočava sektor prometa uvjetovani su </w:t>
      </w:r>
      <w:r w:rsidRPr="006C69B9">
        <w:rPr>
          <w:rFonts w:ascii="Calibri" w:eastAsia="Times New Roman" w:hAnsi="Calibri" w:cs="Calibri"/>
          <w:position w:val="-1"/>
          <w:lang w:val="bs-Latn-BA"/>
        </w:rPr>
        <w:t>zastojem u ekonomskom razvitku što se izravno odražava na priliv namjenskih sredstava za ceste, a postojeća raspodjela namjenskih sredstava za ceste dovoljna je samo za održavanje i dijelom rehabilitaciju. Također primjetan je rastući trend prometnih nesreća sa smrtno stradalim sudionicima u prometu, što nameće potrebu upravljanja sigurnošću prometa kroz uspostavu informacijskog sustava prometnih nesreća s ciljem prevencije. Uočeni problemi vezani su i za negativne učinke smanjenja mobilnosti stanovništva na poslovanje prijevozničkih poduzeća i nedovoljnu iskorištenost kapaciteta Zračne luke Mostar. U narednom periodu potrebno razvijati prometni sustav prema načelu ekonomske održivosti uz značajnije investicije u mrežu regionalnih cesta (putem povoljnih kreditnih sredstava, grantova, EU fondova), kao i poboljšati stupanj usklađenosti regionalnih cesta s cestama višeg ranga. Također, potrebno je poticati veće korištenje željezničkog transporta u prijevozu robe te poticati aktivnosti na izradi studijske projektne dokumentacije za dio Jadransko-jonske auto ceste kroz HNŽ/K, na dionici interregionalni čvor Počitelj spoj s cestom Stolac-Neum u dužini od cca 22 kilometra. Prometna povezanost u Županiji ima potencijal za razvoj intermodalne prometne mreže: Zračna luka Mostar nalazi se u gravitacijskom području dva prometna koridora (Vc i JJAC), ima mogućnost izravnog priključka na glavnu željezničku prugu, nalazi se u neposrednoj blizini čvora na autocesti (Vc) Mostar-jug te je najbliža zračna luka koja je dobro povezana s Lukom Ploče. Te prednosti u razmatranom razdoblju upućuju na potrebu izrade novog strategijskog pristupa regionalnom razvoju intermodalne prometne mreže kako bi se definiralo novo mjesto i uloga Zračne luke Mostar, s ciljem samoodrživosti.</w:t>
      </w:r>
    </w:p>
    <w:p w:rsidR="006C69B9" w:rsidRPr="006C69B9" w:rsidRDefault="006C69B9" w:rsidP="006C69B9">
      <w:pPr>
        <w:spacing w:after="100" w:line="276" w:lineRule="auto"/>
        <w:jc w:val="both"/>
        <w:rPr>
          <w:rFonts w:ascii="Calibri" w:eastAsia="Calibri" w:hAnsi="Calibri" w:cs="Times New Roman"/>
          <w:lang w:val="bs-Latn-BA"/>
        </w:rPr>
      </w:pPr>
    </w:p>
    <w:p w:rsidR="006C69B9" w:rsidRPr="006C69B9" w:rsidRDefault="006C69B9" w:rsidP="006C69B9">
      <w:pPr>
        <w:keepNext/>
        <w:spacing w:before="240" w:after="60" w:line="240" w:lineRule="auto"/>
        <w:outlineLvl w:val="1"/>
        <w:rPr>
          <w:rFonts w:ascii="Calibri" w:eastAsia="Calibri" w:hAnsi="Calibri" w:cs="Times New Roman"/>
          <w:b/>
          <w:bCs/>
          <w:iCs/>
          <w:color w:val="31849B"/>
          <w:sz w:val="24"/>
          <w:szCs w:val="28"/>
          <w:lang w:eastAsia="hr-HR"/>
        </w:rPr>
      </w:pPr>
      <w:bookmarkStart w:id="102" w:name="_Toc54530593"/>
      <w:bookmarkStart w:id="103" w:name="_Toc57573243"/>
      <w:r w:rsidRPr="006C69B9">
        <w:rPr>
          <w:rFonts w:ascii="Calibri" w:eastAsia="Calibri" w:hAnsi="Calibri" w:cs="Times New Roman"/>
          <w:b/>
          <w:bCs/>
          <w:iCs/>
          <w:color w:val="31849B"/>
          <w:sz w:val="24"/>
          <w:szCs w:val="28"/>
          <w:lang w:eastAsia="hr-HR"/>
        </w:rPr>
        <w:t>Elektroenergetska infrastruktura i proizvodnja/potrošnja električne energije</w:t>
      </w:r>
      <w:bookmarkEnd w:id="102"/>
      <w:bookmarkEnd w:id="103"/>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 xml:space="preserve">Na području HNŽ-a djeluju dva elektroprivredna poduzeća odgovorna za opskrbu kupaca električnom energijom: J.P. EP HZ HB d.d. Mostar i J.P. EP BiH d.d. Sarajevo. Prijenosnu mrežu HNŽ/K čine: </w:t>
      </w:r>
    </w:p>
    <w:p w:rsidR="006C69B9" w:rsidRPr="006C69B9" w:rsidRDefault="006C69B9" w:rsidP="00F85905">
      <w:pPr>
        <w:numPr>
          <w:ilvl w:val="0"/>
          <w:numId w:val="8"/>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nadzemni vodovi 110, 220 i 400 kV naponske razine,</w:t>
      </w:r>
    </w:p>
    <w:p w:rsidR="006C69B9" w:rsidRPr="006C69B9" w:rsidRDefault="006C69B9" w:rsidP="00F85905">
      <w:pPr>
        <w:numPr>
          <w:ilvl w:val="0"/>
          <w:numId w:val="8"/>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transformatorske stanice 400/x kV, 220 /x kV i 110 /x kV i</w:t>
      </w:r>
    </w:p>
    <w:p w:rsidR="006C69B9" w:rsidRPr="006C69B9" w:rsidRDefault="006C69B9" w:rsidP="00F85905">
      <w:pPr>
        <w:numPr>
          <w:ilvl w:val="0"/>
          <w:numId w:val="8"/>
        </w:numPr>
        <w:spacing w:after="100" w:line="276" w:lineRule="auto"/>
        <w:contextualSpacing/>
        <w:jc w:val="both"/>
        <w:rPr>
          <w:rFonts w:ascii="Calibri" w:eastAsia="Calibri" w:hAnsi="Calibri" w:cs="Times New Roman"/>
          <w:lang w:val="bs-Latn-BA"/>
        </w:rPr>
      </w:pPr>
      <w:r w:rsidRPr="006C69B9">
        <w:rPr>
          <w:rFonts w:ascii="Calibri" w:eastAsia="Calibri" w:hAnsi="Calibri" w:cs="Times New Roman"/>
          <w:lang w:val="bs-Latn-BA"/>
        </w:rPr>
        <w:t xml:space="preserve">rasklopna postrojenja. </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Na čitavom području HNŽ-a najrazvijenija je 110 kV mreža, koja je građena od pedesetih godina prošloga stoljeća do danas</w:t>
      </w:r>
      <w:r w:rsidRPr="006C69B9">
        <w:rPr>
          <w:rFonts w:ascii="Calibri" w:eastAsia="Calibri" w:hAnsi="Calibri" w:cs="Times New Roman"/>
          <w:vertAlign w:val="superscript"/>
          <w:lang w:val="bs-Latn-BA"/>
        </w:rPr>
        <w:footnoteReference w:id="38"/>
      </w:r>
      <w:r w:rsidRPr="006C69B9">
        <w:rPr>
          <w:rFonts w:ascii="Calibri" w:eastAsia="Calibri" w:hAnsi="Calibri" w:cs="Times New Roman"/>
          <w:lang w:val="bs-Latn-BA"/>
        </w:rPr>
        <w:t xml:space="preserve">. Opskrba električnom energijom na području HNŽ-a je zadovoljavajuća. </w:t>
      </w:r>
      <w:r w:rsidRPr="006C69B9">
        <w:rPr>
          <w:rFonts w:ascii="Calibri" w:eastAsia="Calibri" w:hAnsi="Calibri" w:cs="Times New Roman"/>
          <w:lang w:val="bs-Latn-BA"/>
        </w:rPr>
        <w:lastRenderedPageBreak/>
        <w:t>Ukupna potrošnja električne energije u javnim objektima na području HNŽ-a u 2015. godini iznosila je 21.000 MWh, od čega je udio obnovljivih izvora energije (OIE) iznosio 15 MWh</w:t>
      </w:r>
      <w:r w:rsidRPr="006C69B9">
        <w:rPr>
          <w:rFonts w:ascii="Calibri" w:eastAsia="Calibri" w:hAnsi="Calibri" w:cs="Times New Roman"/>
          <w:vertAlign w:val="superscript"/>
          <w:lang w:val="bs-Latn-BA"/>
        </w:rPr>
        <w:footnoteReference w:id="39"/>
      </w:r>
      <w:r w:rsidRPr="006C69B9">
        <w:rPr>
          <w:rFonts w:ascii="Calibri" w:eastAsia="Calibri" w:hAnsi="Calibri" w:cs="Times New Roman"/>
          <w:lang w:val="bs-Latn-BA"/>
        </w:rPr>
        <w:t>. U narednom periodu potrebno je provoditi aktivnosti na izgradnji novih i revitalizaciji postojećih dalekovoda i transformatorskih stanica, kao i povećanju udjela OIE u ukupnoj potrošnji.</w:t>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b/>
          <w:lang w:val="bs-Latn-BA"/>
        </w:rPr>
        <w:t>Proizvodnja električne energije je uz prerađivačku industriju najjača grana proizvodnog sektora</w:t>
      </w:r>
      <w:r w:rsidRPr="006C69B9">
        <w:rPr>
          <w:rFonts w:ascii="Calibri" w:eastAsia="Calibri" w:hAnsi="Calibri" w:cs="Times New Roman"/>
          <w:lang w:val="bs-Latn-BA"/>
        </w:rPr>
        <w:t xml:space="preserve">. </w:t>
      </w:r>
      <w:r w:rsidRPr="006C69B9">
        <w:rPr>
          <w:rFonts w:ascii="Calibri" w:eastAsia="Calibri" w:hAnsi="Calibri" w:cs="Times New Roman"/>
          <w:b/>
          <w:lang w:val="bs-Latn-BA"/>
        </w:rPr>
        <w:t>Hidroenergetski potencijal dominira</w:t>
      </w:r>
      <w:r w:rsidRPr="006C69B9">
        <w:rPr>
          <w:rFonts w:ascii="Calibri" w:eastAsia="Calibri" w:hAnsi="Calibri" w:cs="Times New Roman"/>
          <w:lang w:val="bs-Latn-BA"/>
        </w:rPr>
        <w:t xml:space="preserve"> u proizvodnji električne energije u HNŽ-u. Na teritoriji Županije izgrađeno je sedam hidroelektrana, od kojih je jedna na slivu rijeke Trebišnjice (CHE Čapljina), dok je preostalih šest na slivnom području rijeke Neretve. Ukupna instalirana snaga iz hidroelektrana u Županiji iznosi 1.216 MW, a očekivana proizvodnja je 3.261 GWh. Posljednjih godina primjetan je porast izgradnje malih hidroelektrana (MHE), a naročito na području općina Konjic i Jablanica. U strukturi potrošnje električne energije dominiraju kućanstva (61,4%), industrija (13,1%), javna rasvjeta (2,5%) i ostala potrošnja (23%).</w:t>
      </w:r>
      <w:r w:rsidRPr="006C69B9">
        <w:rPr>
          <w:rFonts w:ascii="Calibri" w:eastAsia="Calibri" w:hAnsi="Calibri" w:cs="Times New Roman"/>
          <w:vertAlign w:val="superscript"/>
          <w:lang w:val="bs-Latn-BA"/>
        </w:rPr>
        <w:footnoteReference w:id="40"/>
      </w: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Obujam proizvodnje i opskrbe električnom energijom i plinom u HNŽ-u u porastu je posljednje dvije godine. Značajan rast zabilježen je u 2018. godini (43,8%) nakon dvije godine pada i to za 62,2 postotnih bodova više u odnosu na godinu ranije. U 2019. godini također je ostvaren rast obujma proizvodnje i opskrbe električnom energijom i plinom za 10,2%</w:t>
      </w:r>
      <w:r w:rsidRPr="006C69B9">
        <w:rPr>
          <w:rFonts w:ascii="Calibri" w:eastAsia="Calibri" w:hAnsi="Calibri" w:cs="Times New Roman"/>
          <w:vertAlign w:val="superscript"/>
          <w:lang w:val="bs-Latn-BA"/>
        </w:rPr>
        <w:footnoteReference w:id="41"/>
      </w:r>
      <w:r w:rsidRPr="006C69B9">
        <w:rPr>
          <w:rFonts w:ascii="Calibri" w:eastAsia="Calibri" w:hAnsi="Calibri" w:cs="Times New Roman"/>
          <w:lang w:val="bs-Latn-BA"/>
        </w:rPr>
        <w:t>.</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84. Postojeće hidrelektrane u HNŽ</w:t>
      </w:r>
    </w:p>
    <w:tbl>
      <w:tblPr>
        <w:tblStyle w:val="MediumGrid3-Accent51"/>
        <w:tblW w:w="7220" w:type="dxa"/>
        <w:jc w:val="center"/>
        <w:tblLook w:val="04A0"/>
      </w:tblPr>
      <w:tblGrid>
        <w:gridCol w:w="2134"/>
        <w:gridCol w:w="1320"/>
        <w:gridCol w:w="2206"/>
        <w:gridCol w:w="1560"/>
      </w:tblGrid>
      <w:tr w:rsidR="006C69B9" w:rsidRPr="006C69B9" w:rsidTr="006C69B9">
        <w:trPr>
          <w:cnfStyle w:val="100000000000"/>
          <w:trHeight w:val="609"/>
          <w:jc w:val="center"/>
        </w:trPr>
        <w:tc>
          <w:tcPr>
            <w:cnfStyle w:val="001000000000"/>
            <w:tcW w:w="2134" w:type="dxa"/>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Hidroelektrana</w:t>
            </w:r>
          </w:p>
        </w:tc>
        <w:tc>
          <w:tcPr>
            <w:tcW w:w="132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Snaga (MW)</w:t>
            </w:r>
          </w:p>
        </w:tc>
        <w:tc>
          <w:tcPr>
            <w:tcW w:w="2206"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Očekivana godišnja proizvodnja  (GWh)</w:t>
            </w:r>
          </w:p>
        </w:tc>
        <w:tc>
          <w:tcPr>
            <w:tcW w:w="1560" w:type="dxa"/>
          </w:tcPr>
          <w:p w:rsidR="006C69B9" w:rsidRPr="006C69B9" w:rsidRDefault="006C69B9" w:rsidP="006C69B9">
            <w:pPr>
              <w:jc w:val="center"/>
              <w:cnfStyle w:val="100000000000"/>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Sustav</w:t>
            </w:r>
          </w:p>
        </w:tc>
      </w:tr>
      <w:tr w:rsidR="006C69B9" w:rsidRPr="006C69B9" w:rsidTr="006C69B9">
        <w:trPr>
          <w:cnfStyle w:val="000000100000"/>
          <w:trHeight w:val="29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HE Jablanica</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180</w:t>
            </w:r>
          </w:p>
        </w:tc>
        <w:tc>
          <w:tcPr>
            <w:tcW w:w="2206"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770</w:t>
            </w:r>
          </w:p>
        </w:tc>
        <w:tc>
          <w:tcPr>
            <w:tcW w:w="156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EP BiH</w:t>
            </w:r>
          </w:p>
        </w:tc>
      </w:tr>
      <w:tr w:rsidR="006C69B9" w:rsidRPr="006C69B9" w:rsidTr="006C69B9">
        <w:trPr>
          <w:trHeight w:val="33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HE Grabovica</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114</w:t>
            </w:r>
          </w:p>
        </w:tc>
        <w:tc>
          <w:tcPr>
            <w:tcW w:w="2206"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334</w:t>
            </w:r>
          </w:p>
        </w:tc>
        <w:tc>
          <w:tcPr>
            <w:tcW w:w="156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EP BiH</w:t>
            </w:r>
          </w:p>
        </w:tc>
      </w:tr>
      <w:tr w:rsidR="006C69B9" w:rsidRPr="006C69B9" w:rsidTr="006C69B9">
        <w:trPr>
          <w:cnfStyle w:val="000000100000"/>
          <w:trHeight w:val="33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HE Salakovac</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210</w:t>
            </w:r>
          </w:p>
        </w:tc>
        <w:tc>
          <w:tcPr>
            <w:tcW w:w="2206"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410</w:t>
            </w:r>
          </w:p>
        </w:tc>
        <w:tc>
          <w:tcPr>
            <w:tcW w:w="156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EP BiH</w:t>
            </w:r>
          </w:p>
        </w:tc>
      </w:tr>
      <w:tr w:rsidR="006C69B9" w:rsidRPr="006C69B9" w:rsidTr="006C69B9">
        <w:trPr>
          <w:trHeight w:val="29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CHE Čapljina</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420</w:t>
            </w:r>
          </w:p>
        </w:tc>
        <w:tc>
          <w:tcPr>
            <w:tcW w:w="2206"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620</w:t>
            </w:r>
          </w:p>
        </w:tc>
        <w:tc>
          <w:tcPr>
            <w:tcW w:w="156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EP HZ HB</w:t>
            </w:r>
          </w:p>
        </w:tc>
      </w:tr>
      <w:tr w:rsidR="006C69B9" w:rsidRPr="006C69B9" w:rsidTr="006C69B9">
        <w:trPr>
          <w:cnfStyle w:val="000000100000"/>
          <w:trHeight w:val="29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HE Rama</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160</w:t>
            </w:r>
          </w:p>
        </w:tc>
        <w:tc>
          <w:tcPr>
            <w:tcW w:w="2206"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650</w:t>
            </w:r>
          </w:p>
        </w:tc>
        <w:tc>
          <w:tcPr>
            <w:tcW w:w="156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EP HZ HB</w:t>
            </w:r>
          </w:p>
        </w:tc>
      </w:tr>
      <w:tr w:rsidR="006C69B9" w:rsidRPr="006C69B9" w:rsidTr="006C69B9">
        <w:trPr>
          <w:trHeight w:val="29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HE Mostar</w:t>
            </w:r>
          </w:p>
        </w:tc>
        <w:tc>
          <w:tcPr>
            <w:tcW w:w="132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72</w:t>
            </w:r>
          </w:p>
        </w:tc>
        <w:tc>
          <w:tcPr>
            <w:tcW w:w="2206"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310</w:t>
            </w:r>
          </w:p>
        </w:tc>
        <w:tc>
          <w:tcPr>
            <w:tcW w:w="1560" w:type="dxa"/>
            <w:noWrap/>
          </w:tcPr>
          <w:p w:rsidR="006C69B9" w:rsidRPr="006C69B9" w:rsidRDefault="006C69B9" w:rsidP="006C69B9">
            <w:pPr>
              <w:jc w:val="center"/>
              <w:cnfStyle w:val="0000000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EP HZ HB</w:t>
            </w:r>
          </w:p>
        </w:tc>
      </w:tr>
      <w:tr w:rsidR="006C69B9" w:rsidRPr="006C69B9" w:rsidTr="006C69B9">
        <w:trPr>
          <w:cnfStyle w:val="000000100000"/>
          <w:trHeight w:val="29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HE Mostarsko blato</w:t>
            </w:r>
          </w:p>
        </w:tc>
        <w:tc>
          <w:tcPr>
            <w:tcW w:w="132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60</w:t>
            </w:r>
          </w:p>
        </w:tc>
        <w:tc>
          <w:tcPr>
            <w:tcW w:w="2206"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167</w:t>
            </w:r>
          </w:p>
        </w:tc>
        <w:tc>
          <w:tcPr>
            <w:tcW w:w="1560" w:type="dxa"/>
            <w:noWrap/>
          </w:tcPr>
          <w:p w:rsidR="006C69B9" w:rsidRPr="006C69B9" w:rsidRDefault="006C69B9" w:rsidP="006C69B9">
            <w:pPr>
              <w:jc w:val="center"/>
              <w:cnfStyle w:val="000000100000"/>
              <w:rPr>
                <w:rFonts w:ascii="Calibri" w:eastAsia="Calibri" w:hAnsi="Calibri" w:cs="Times New Roman"/>
                <w:color w:val="000000"/>
                <w:sz w:val="20"/>
                <w:szCs w:val="20"/>
                <w:lang w:val="bs-Latn-BA" w:eastAsia="hr-HR"/>
              </w:rPr>
            </w:pPr>
            <w:r w:rsidRPr="006C69B9">
              <w:rPr>
                <w:rFonts w:ascii="Calibri" w:eastAsia="Calibri" w:hAnsi="Calibri" w:cs="Times New Roman"/>
                <w:color w:val="000000"/>
                <w:sz w:val="20"/>
                <w:szCs w:val="20"/>
                <w:lang w:val="bs-Latn-BA" w:eastAsia="hr-HR"/>
              </w:rPr>
              <w:t>EP HZ HB</w:t>
            </w:r>
          </w:p>
        </w:tc>
      </w:tr>
      <w:tr w:rsidR="006C69B9" w:rsidRPr="006C69B9" w:rsidTr="006C69B9">
        <w:trPr>
          <w:trHeight w:val="290"/>
          <w:jc w:val="center"/>
        </w:trPr>
        <w:tc>
          <w:tcPr>
            <w:cnfStyle w:val="001000000000"/>
            <w:tcW w:w="2134" w:type="dxa"/>
            <w:noWrap/>
          </w:tcPr>
          <w:p w:rsidR="006C69B9" w:rsidRPr="006C69B9" w:rsidRDefault="006C69B9" w:rsidP="006C69B9">
            <w:pPr>
              <w:jc w:val="center"/>
              <w:rPr>
                <w:rFonts w:ascii="Calibri" w:eastAsia="Calibri" w:hAnsi="Calibri" w:cs="Times New Roman"/>
                <w:sz w:val="20"/>
                <w:szCs w:val="20"/>
                <w:lang w:val="bs-Latn-BA" w:eastAsia="hr-HR"/>
              </w:rPr>
            </w:pPr>
            <w:r w:rsidRPr="006C69B9">
              <w:rPr>
                <w:rFonts w:ascii="Calibri" w:eastAsia="Calibri" w:hAnsi="Calibri" w:cs="Times New Roman"/>
                <w:sz w:val="20"/>
                <w:szCs w:val="20"/>
                <w:lang w:val="bs-Latn-BA" w:eastAsia="hr-HR"/>
              </w:rPr>
              <w:t>Ukupno:</w:t>
            </w:r>
          </w:p>
        </w:tc>
        <w:tc>
          <w:tcPr>
            <w:tcW w:w="132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1.216</w:t>
            </w:r>
          </w:p>
        </w:tc>
        <w:tc>
          <w:tcPr>
            <w:tcW w:w="2206"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r w:rsidRPr="006C69B9">
              <w:rPr>
                <w:rFonts w:ascii="Calibri" w:eastAsia="Calibri" w:hAnsi="Calibri" w:cs="Times New Roman"/>
                <w:b/>
                <w:bCs/>
                <w:color w:val="000000"/>
                <w:sz w:val="20"/>
                <w:szCs w:val="20"/>
                <w:lang w:val="bs-Latn-BA" w:eastAsia="hr-HR"/>
              </w:rPr>
              <w:t>3.261</w:t>
            </w:r>
          </w:p>
        </w:tc>
        <w:tc>
          <w:tcPr>
            <w:tcW w:w="1560" w:type="dxa"/>
            <w:noWrap/>
          </w:tcPr>
          <w:p w:rsidR="006C69B9" w:rsidRPr="006C69B9" w:rsidRDefault="006C69B9" w:rsidP="006C69B9">
            <w:pPr>
              <w:jc w:val="center"/>
              <w:cnfStyle w:val="000000000000"/>
              <w:rPr>
                <w:rFonts w:ascii="Calibri" w:eastAsia="Calibri" w:hAnsi="Calibri" w:cs="Times New Roman"/>
                <w:b/>
                <w:bCs/>
                <w:color w:val="000000"/>
                <w:sz w:val="20"/>
                <w:szCs w:val="20"/>
                <w:lang w:val="bs-Latn-BA" w:eastAsia="hr-HR"/>
              </w:rPr>
            </w:pPr>
          </w:p>
        </w:tc>
      </w:tr>
    </w:tbl>
    <w:p w:rsidR="006C69B9" w:rsidRPr="006C69B9" w:rsidRDefault="006C69B9" w:rsidP="006C69B9">
      <w:pPr>
        <w:spacing w:after="100" w:line="276" w:lineRule="auto"/>
        <w:jc w:val="center"/>
        <w:rPr>
          <w:rFonts w:ascii="Calibri" w:eastAsia="Calibri" w:hAnsi="Calibri" w:cs="Times New Roman"/>
          <w:lang w:val="bs-Latn-BA"/>
        </w:rPr>
      </w:pPr>
      <w:r w:rsidRPr="006C69B9">
        <w:rPr>
          <w:rFonts w:ascii="Calibri" w:eastAsia="Calibri" w:hAnsi="Calibri" w:cs="Times New Roman"/>
          <w:b/>
          <w:i/>
          <w:sz w:val="18"/>
          <w:szCs w:val="18"/>
          <w:lang w:val="bs-Latn-BA"/>
        </w:rPr>
        <w:t>Izvor podataka: EP BiH, EP HZ HB</w:t>
      </w:r>
    </w:p>
    <w:p w:rsidR="006C69B9" w:rsidRPr="006C69B9" w:rsidRDefault="006C69B9" w:rsidP="006C69B9">
      <w:pPr>
        <w:keepNext/>
        <w:spacing w:after="80" w:line="240" w:lineRule="auto"/>
        <w:jc w:val="center"/>
        <w:rPr>
          <w:rFonts w:ascii="Calibri" w:eastAsia="Calibri" w:hAnsi="Calibri" w:cs="Calibri Light"/>
          <w:bCs/>
          <w:i/>
          <w:color w:val="31849B"/>
          <w:sz w:val="20"/>
        </w:rPr>
      </w:pP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85. Indeks proizvodnje i opskrbe električnom energijom i plinom u HNŽ-u i FBiH za razdoblje od 2015. do 2019. godine</w:t>
      </w:r>
    </w:p>
    <w:tbl>
      <w:tblPr>
        <w:tblStyle w:val="MediumGrid3-Accent51"/>
        <w:tblW w:w="0" w:type="auto"/>
        <w:tblLook w:val="04A0"/>
      </w:tblPr>
      <w:tblGrid>
        <w:gridCol w:w="1440"/>
        <w:gridCol w:w="1438"/>
        <w:gridCol w:w="1669"/>
        <w:gridCol w:w="1687"/>
        <w:gridCol w:w="1516"/>
        <w:gridCol w:w="1516"/>
      </w:tblGrid>
      <w:tr w:rsidR="006C69B9" w:rsidRPr="006C69B9" w:rsidTr="006C69B9">
        <w:trPr>
          <w:cnfStyle w:val="100000000000"/>
        </w:trPr>
        <w:tc>
          <w:tcPr>
            <w:cnfStyle w:val="001000000000"/>
            <w:tcW w:w="1440"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Godina/indeks</w:t>
            </w:r>
          </w:p>
        </w:tc>
        <w:tc>
          <w:tcPr>
            <w:tcW w:w="1438"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2015/2014</w:t>
            </w:r>
          </w:p>
        </w:tc>
        <w:tc>
          <w:tcPr>
            <w:tcW w:w="1669"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2016/2015</w:t>
            </w:r>
          </w:p>
        </w:tc>
        <w:tc>
          <w:tcPr>
            <w:tcW w:w="1687"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2017/2016</w:t>
            </w:r>
          </w:p>
        </w:tc>
        <w:tc>
          <w:tcPr>
            <w:tcW w:w="151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2018/2017</w:t>
            </w:r>
          </w:p>
        </w:tc>
        <w:tc>
          <w:tcPr>
            <w:tcW w:w="1516"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2019/2018</w:t>
            </w:r>
          </w:p>
        </w:tc>
      </w:tr>
      <w:tr w:rsidR="006C69B9" w:rsidRPr="006C69B9" w:rsidTr="006C69B9">
        <w:trPr>
          <w:cnfStyle w:val="000000100000"/>
        </w:trPr>
        <w:tc>
          <w:tcPr>
            <w:cnfStyle w:val="001000000000"/>
            <w:tcW w:w="1440"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HNŽ</w:t>
            </w:r>
          </w:p>
        </w:tc>
        <w:tc>
          <w:tcPr>
            <w:tcW w:w="1438"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101,7</w:t>
            </w:r>
          </w:p>
        </w:tc>
        <w:tc>
          <w:tcPr>
            <w:tcW w:w="1669"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92,1</w:t>
            </w:r>
          </w:p>
        </w:tc>
        <w:tc>
          <w:tcPr>
            <w:tcW w:w="1687"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81,4</w:t>
            </w:r>
          </w:p>
        </w:tc>
        <w:tc>
          <w:tcPr>
            <w:tcW w:w="151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143,8</w:t>
            </w:r>
          </w:p>
        </w:tc>
        <w:tc>
          <w:tcPr>
            <w:tcW w:w="1516" w:type="dxa"/>
            <w:shd w:val="clear" w:color="auto" w:fill="DAEEF3"/>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110,2</w:t>
            </w:r>
          </w:p>
        </w:tc>
      </w:tr>
      <w:tr w:rsidR="006C69B9" w:rsidRPr="006C69B9" w:rsidTr="006C69B9">
        <w:tc>
          <w:tcPr>
            <w:cnfStyle w:val="001000000000"/>
            <w:tcW w:w="1440"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FBIH</w:t>
            </w:r>
          </w:p>
        </w:tc>
        <w:tc>
          <w:tcPr>
            <w:tcW w:w="1438"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98,5</w:t>
            </w:r>
          </w:p>
        </w:tc>
        <w:tc>
          <w:tcPr>
            <w:tcW w:w="1669"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100,4</w:t>
            </w:r>
          </w:p>
        </w:tc>
        <w:tc>
          <w:tcPr>
            <w:tcW w:w="1687"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98,1</w:t>
            </w:r>
          </w:p>
        </w:tc>
        <w:tc>
          <w:tcPr>
            <w:tcW w:w="151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106,1</w:t>
            </w:r>
          </w:p>
        </w:tc>
        <w:tc>
          <w:tcPr>
            <w:tcW w:w="1516" w:type="dxa"/>
            <w:shd w:val="clear" w:color="auto" w:fill="DAEEF3"/>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94,9</w:t>
            </w:r>
          </w:p>
        </w:tc>
      </w:tr>
    </w:tbl>
    <w:p w:rsidR="006C69B9" w:rsidRPr="006C69B9" w:rsidRDefault="006C69B9" w:rsidP="006C69B9">
      <w:pPr>
        <w:spacing w:after="100" w:line="276" w:lineRule="auto"/>
        <w:jc w:val="center"/>
        <w:rPr>
          <w:rFonts w:ascii="Calibri" w:eastAsia="Calibri" w:hAnsi="Calibri" w:cs="Times New Roman"/>
          <w:lang w:val="bs-Latn-BA"/>
        </w:rPr>
      </w:pPr>
      <w:r w:rsidRPr="006C69B9">
        <w:rPr>
          <w:rFonts w:ascii="Calibri" w:eastAsia="Calibri" w:hAnsi="Calibri" w:cs="Times New Roman"/>
          <w:b/>
          <w:i/>
          <w:sz w:val="18"/>
          <w:szCs w:val="18"/>
          <w:lang w:val="bs-Latn-BA"/>
        </w:rPr>
        <w:t>Izvor podataka: Federalni zavoda za programiranje razvoja, 2016-2020</w:t>
      </w:r>
    </w:p>
    <w:p w:rsidR="006C69B9" w:rsidRPr="006C69B9" w:rsidRDefault="006C69B9" w:rsidP="006C69B9">
      <w:pPr>
        <w:spacing w:after="100" w:line="276" w:lineRule="auto"/>
        <w:jc w:val="both"/>
        <w:rPr>
          <w:rFonts w:ascii="Calibri" w:eastAsia="Calibri" w:hAnsi="Calibri" w:cs="Times New Roman"/>
          <w:b/>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b/>
          <w:lang w:val="bs-Latn-BA"/>
        </w:rPr>
        <w:t>Obnovljivi izvori energije (OIE) i energetska učinkovitost.</w:t>
      </w:r>
      <w:r w:rsidRPr="006C69B9">
        <w:rPr>
          <w:rFonts w:ascii="Calibri" w:eastAsia="Calibri" w:hAnsi="Calibri" w:cs="Times New Roman"/>
          <w:lang w:val="bs-Latn-BA"/>
        </w:rPr>
        <w:t xml:space="preserve"> Potrebnu pozornost u narednom periodu treba obratiti dobivanju električne energije iz obnovljivih izvora energije, što je usko povezano s povećanjem energetske učinkovitosti. U posljednjih nekoliko godina na području Županije intenzivirana su ulaganja u energetsku učinkovitost kroz programe obnove i utopljavanja javnih objekata (ulaganja cca 20 mil. KM u proteklih pet godina) i ulaganja u OIE. Sektor zgradarstva, koji je u EU odgovoran za 40%-tnu ukupnu potrošnju energije s tendencijom rasta u budućnosti, svakako je i </w:t>
      </w:r>
      <w:r w:rsidRPr="006C69B9">
        <w:rPr>
          <w:rFonts w:ascii="Calibri" w:eastAsia="Calibri" w:hAnsi="Calibri" w:cs="Times New Roman"/>
          <w:lang w:val="bs-Latn-BA"/>
        </w:rPr>
        <w:lastRenderedPageBreak/>
        <w:t>sektor s najvećim potencijalom uštede energije u Županiji. Programom energetske učinkovitosti u HNŽ/K planirana je obnova i utopljavanje više od 30 javnih objekata, prvenstveno obrazovnih i zdravstvenih institucija.</w:t>
      </w:r>
    </w:p>
    <w:p w:rsidR="006C69B9" w:rsidRPr="006C69B9" w:rsidRDefault="006C69B9" w:rsidP="006C69B9">
      <w:pPr>
        <w:keepNext/>
        <w:spacing w:after="80" w:line="240" w:lineRule="auto"/>
        <w:jc w:val="center"/>
        <w:rPr>
          <w:rFonts w:ascii="Calibri" w:eastAsia="Calibri" w:hAnsi="Calibri" w:cs="Calibri Light"/>
          <w:bCs/>
          <w:i/>
          <w:color w:val="31849B"/>
          <w:sz w:val="20"/>
        </w:rPr>
      </w:pPr>
      <w:r w:rsidRPr="006C69B9">
        <w:rPr>
          <w:rFonts w:ascii="Calibri" w:eastAsia="Calibri" w:hAnsi="Calibri" w:cs="Calibri Light"/>
          <w:bCs/>
          <w:i/>
          <w:color w:val="31849B"/>
          <w:sz w:val="20"/>
        </w:rPr>
        <w:t>Tabela 86. Registar projekata OIE u HNŽ-u od 01/2013. do 12/2018. godine</w:t>
      </w:r>
    </w:p>
    <w:tbl>
      <w:tblPr>
        <w:tblStyle w:val="MediumGrid3-Accent51"/>
        <w:tblW w:w="7963" w:type="dxa"/>
        <w:jc w:val="center"/>
        <w:tblLook w:val="04A0"/>
      </w:tblPr>
      <w:tblGrid>
        <w:gridCol w:w="2739"/>
        <w:gridCol w:w="2839"/>
        <w:gridCol w:w="2385"/>
      </w:tblGrid>
      <w:tr w:rsidR="00F85905" w:rsidRPr="006C69B9" w:rsidTr="006C69B9">
        <w:trPr>
          <w:cnfStyle w:val="100000000000"/>
          <w:jc w:val="center"/>
        </w:trPr>
        <w:tc>
          <w:tcPr>
            <w:cnfStyle w:val="001000000000"/>
            <w:tcW w:w="2739"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Oblik OIE</w:t>
            </w:r>
          </w:p>
        </w:tc>
        <w:tc>
          <w:tcPr>
            <w:tcW w:w="2839"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I</w:t>
            </w:r>
            <w:r w:rsidRPr="006C69B9">
              <w:rPr>
                <w:rFonts w:ascii="Calibri" w:eastAsia="Calibri" w:hAnsi="Calibri" w:cs="Times New Roman"/>
                <w:caps/>
                <w:sz w:val="20"/>
                <w:szCs w:val="20"/>
                <w:lang w:val="bs-Latn-BA"/>
              </w:rPr>
              <w:t>nstalirana snaga (MW</w:t>
            </w:r>
            <w:r w:rsidRPr="006C69B9">
              <w:rPr>
                <w:rFonts w:ascii="Calibri" w:eastAsia="Calibri" w:hAnsi="Calibri" w:cs="Times New Roman"/>
                <w:sz w:val="20"/>
                <w:szCs w:val="20"/>
                <w:lang w:val="bs-Latn-BA"/>
              </w:rPr>
              <w:t>)</w:t>
            </w:r>
          </w:p>
        </w:tc>
        <w:tc>
          <w:tcPr>
            <w:tcW w:w="2385" w:type="dxa"/>
          </w:tcPr>
          <w:p w:rsidR="006C69B9" w:rsidRPr="006C69B9" w:rsidRDefault="006C69B9" w:rsidP="006C69B9">
            <w:pPr>
              <w:jc w:val="center"/>
              <w:cnfStyle w:val="1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P</w:t>
            </w:r>
            <w:r w:rsidRPr="006C69B9">
              <w:rPr>
                <w:rFonts w:ascii="Calibri" w:eastAsia="Calibri" w:hAnsi="Calibri" w:cs="Times New Roman"/>
                <w:caps/>
                <w:sz w:val="20"/>
                <w:szCs w:val="20"/>
                <w:lang w:val="bs-Latn-BA"/>
              </w:rPr>
              <w:t>lanirana proizvodnja (MWh)</w:t>
            </w:r>
          </w:p>
        </w:tc>
      </w:tr>
      <w:tr w:rsidR="006C69B9" w:rsidRPr="006C69B9" w:rsidTr="006C69B9">
        <w:trPr>
          <w:cnfStyle w:val="000000100000"/>
          <w:jc w:val="center"/>
        </w:trPr>
        <w:tc>
          <w:tcPr>
            <w:cnfStyle w:val="001000000000"/>
            <w:tcW w:w="7963" w:type="dxa"/>
            <w:gridSpan w:val="3"/>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Izgrađena postrojenja</w:t>
            </w:r>
          </w:p>
        </w:tc>
      </w:tr>
      <w:tr w:rsidR="006C69B9" w:rsidRPr="006C69B9" w:rsidTr="006C69B9">
        <w:trPr>
          <w:jc w:val="center"/>
        </w:trPr>
        <w:tc>
          <w:tcPr>
            <w:cnfStyle w:val="001000000000"/>
            <w:tcW w:w="2739" w:type="dxa"/>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Hidroelektrane</w:t>
            </w:r>
          </w:p>
        </w:tc>
        <w:tc>
          <w:tcPr>
            <w:tcW w:w="2839"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12,60</w:t>
            </w:r>
          </w:p>
        </w:tc>
        <w:tc>
          <w:tcPr>
            <w:tcW w:w="238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53.755,00</w:t>
            </w:r>
          </w:p>
        </w:tc>
      </w:tr>
      <w:tr w:rsidR="00F85905" w:rsidRPr="006C69B9" w:rsidTr="006C69B9">
        <w:trPr>
          <w:cnfStyle w:val="000000100000"/>
          <w:jc w:val="center"/>
        </w:trPr>
        <w:tc>
          <w:tcPr>
            <w:cnfStyle w:val="001000000000"/>
            <w:tcW w:w="2739"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Fotonaponske elektrane</w:t>
            </w:r>
          </w:p>
        </w:tc>
        <w:tc>
          <w:tcPr>
            <w:tcW w:w="2839" w:type="dxa"/>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8,48</w:t>
            </w:r>
          </w:p>
        </w:tc>
        <w:tc>
          <w:tcPr>
            <w:tcW w:w="2385" w:type="dxa"/>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12.164,88</w:t>
            </w:r>
          </w:p>
        </w:tc>
      </w:tr>
      <w:tr w:rsidR="006C69B9" w:rsidRPr="006C69B9" w:rsidTr="006C69B9">
        <w:trPr>
          <w:jc w:val="center"/>
        </w:trPr>
        <w:tc>
          <w:tcPr>
            <w:cnfStyle w:val="001000000000"/>
            <w:tcW w:w="2739" w:type="dxa"/>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Vjetroelektrane</w:t>
            </w:r>
          </w:p>
        </w:tc>
        <w:tc>
          <w:tcPr>
            <w:tcW w:w="2839"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0,1</w:t>
            </w:r>
          </w:p>
        </w:tc>
        <w:tc>
          <w:tcPr>
            <w:tcW w:w="238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305,00</w:t>
            </w:r>
          </w:p>
        </w:tc>
      </w:tr>
      <w:tr w:rsidR="00F85905" w:rsidRPr="006C69B9" w:rsidTr="006C69B9">
        <w:trPr>
          <w:cnfStyle w:val="000000100000"/>
          <w:jc w:val="center"/>
        </w:trPr>
        <w:tc>
          <w:tcPr>
            <w:cnfStyle w:val="001000000000"/>
            <w:tcW w:w="2739" w:type="dxa"/>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Ukupno</w:t>
            </w:r>
          </w:p>
        </w:tc>
        <w:tc>
          <w:tcPr>
            <w:tcW w:w="2839"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21,18</w:t>
            </w:r>
          </w:p>
        </w:tc>
        <w:tc>
          <w:tcPr>
            <w:tcW w:w="2385" w:type="dxa"/>
          </w:tcPr>
          <w:p w:rsidR="006C69B9" w:rsidRPr="006C69B9" w:rsidRDefault="006C69B9" w:rsidP="006C69B9">
            <w:pPr>
              <w:jc w:val="center"/>
              <w:cnfStyle w:val="0000001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66.224,88</w:t>
            </w:r>
          </w:p>
        </w:tc>
      </w:tr>
      <w:tr w:rsidR="006C69B9" w:rsidRPr="006C69B9" w:rsidTr="006C69B9">
        <w:trPr>
          <w:jc w:val="center"/>
        </w:trPr>
        <w:tc>
          <w:tcPr>
            <w:cnfStyle w:val="001000000000"/>
            <w:tcW w:w="7963" w:type="dxa"/>
            <w:gridSpan w:val="3"/>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sz w:val="20"/>
                <w:szCs w:val="20"/>
                <w:lang w:val="bs-Latn-BA"/>
              </w:rPr>
              <w:t>postrojenja u izgradnji</w:t>
            </w:r>
          </w:p>
        </w:tc>
      </w:tr>
      <w:tr w:rsidR="00F85905" w:rsidRPr="006C69B9" w:rsidTr="006C69B9">
        <w:trPr>
          <w:cnfStyle w:val="000000100000"/>
          <w:jc w:val="center"/>
        </w:trPr>
        <w:tc>
          <w:tcPr>
            <w:cnfStyle w:val="001000000000"/>
            <w:tcW w:w="2739"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Hidroelektrane</w:t>
            </w:r>
          </w:p>
        </w:tc>
        <w:tc>
          <w:tcPr>
            <w:tcW w:w="2839" w:type="dxa"/>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4,93</w:t>
            </w:r>
          </w:p>
        </w:tc>
        <w:tc>
          <w:tcPr>
            <w:tcW w:w="2385" w:type="dxa"/>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220.775,40</w:t>
            </w:r>
          </w:p>
        </w:tc>
      </w:tr>
      <w:tr w:rsidR="006C69B9" w:rsidRPr="006C69B9" w:rsidTr="006C69B9">
        <w:trPr>
          <w:jc w:val="center"/>
        </w:trPr>
        <w:tc>
          <w:tcPr>
            <w:cnfStyle w:val="001000000000"/>
            <w:tcW w:w="2739" w:type="dxa"/>
            <w:shd w:val="clear" w:color="auto" w:fill="D2EAF1"/>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Fotonaponske elektrane</w:t>
            </w:r>
          </w:p>
        </w:tc>
        <w:tc>
          <w:tcPr>
            <w:tcW w:w="2839"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11,41</w:t>
            </w:r>
          </w:p>
        </w:tc>
        <w:tc>
          <w:tcPr>
            <w:tcW w:w="2385" w:type="dxa"/>
          </w:tcPr>
          <w:p w:rsidR="006C69B9" w:rsidRPr="006C69B9" w:rsidRDefault="006C69B9" w:rsidP="006C69B9">
            <w:pPr>
              <w:jc w:val="center"/>
              <w:cnfStyle w:val="0000000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16.511,70</w:t>
            </w:r>
          </w:p>
        </w:tc>
      </w:tr>
      <w:tr w:rsidR="00F85905" w:rsidRPr="006C69B9" w:rsidTr="006C69B9">
        <w:trPr>
          <w:cnfStyle w:val="000000100000"/>
          <w:jc w:val="center"/>
        </w:trPr>
        <w:tc>
          <w:tcPr>
            <w:cnfStyle w:val="001000000000"/>
            <w:tcW w:w="2739" w:type="dxa"/>
          </w:tcPr>
          <w:p w:rsidR="006C69B9" w:rsidRPr="006C69B9" w:rsidRDefault="006C69B9" w:rsidP="006C69B9">
            <w:pPr>
              <w:jc w:val="center"/>
              <w:rPr>
                <w:rFonts w:ascii="Calibri" w:eastAsia="Calibri" w:hAnsi="Calibri" w:cs="Times New Roman"/>
                <w:sz w:val="20"/>
                <w:szCs w:val="20"/>
                <w:lang w:val="bs-Latn-BA"/>
              </w:rPr>
            </w:pPr>
            <w:r w:rsidRPr="006C69B9">
              <w:rPr>
                <w:rFonts w:ascii="Calibri" w:eastAsia="Calibri" w:hAnsi="Calibri" w:cs="Times New Roman"/>
                <w:caps/>
                <w:sz w:val="20"/>
                <w:szCs w:val="20"/>
                <w:lang w:val="bs-Latn-BA"/>
              </w:rPr>
              <w:t>Vjetroelektrane</w:t>
            </w:r>
          </w:p>
        </w:tc>
        <w:tc>
          <w:tcPr>
            <w:tcW w:w="2839" w:type="dxa"/>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0,12</w:t>
            </w:r>
          </w:p>
        </w:tc>
        <w:tc>
          <w:tcPr>
            <w:tcW w:w="2385" w:type="dxa"/>
          </w:tcPr>
          <w:p w:rsidR="006C69B9" w:rsidRPr="006C69B9" w:rsidRDefault="006C69B9" w:rsidP="006C69B9">
            <w:pPr>
              <w:jc w:val="center"/>
              <w:cnfStyle w:val="000000100000"/>
              <w:rPr>
                <w:rFonts w:ascii="Calibri" w:eastAsia="Calibri" w:hAnsi="Calibri" w:cs="Times New Roman"/>
                <w:sz w:val="20"/>
                <w:szCs w:val="20"/>
                <w:lang w:val="bs-Latn-BA"/>
              </w:rPr>
            </w:pPr>
            <w:r w:rsidRPr="006C69B9">
              <w:rPr>
                <w:rFonts w:ascii="Calibri" w:eastAsia="Calibri" w:hAnsi="Calibri" w:cs="Times New Roman"/>
                <w:sz w:val="20"/>
                <w:szCs w:val="20"/>
                <w:lang w:val="bs-Latn-BA"/>
              </w:rPr>
              <w:t>366,00</w:t>
            </w:r>
          </w:p>
        </w:tc>
      </w:tr>
      <w:tr w:rsidR="006C69B9" w:rsidRPr="006C69B9" w:rsidTr="006C69B9">
        <w:trPr>
          <w:jc w:val="center"/>
        </w:trPr>
        <w:tc>
          <w:tcPr>
            <w:cnfStyle w:val="001000000000"/>
            <w:tcW w:w="2739" w:type="dxa"/>
            <w:shd w:val="clear" w:color="auto" w:fill="D2EAF1"/>
          </w:tcPr>
          <w:p w:rsidR="006C69B9" w:rsidRPr="006C69B9" w:rsidRDefault="006C69B9" w:rsidP="006C69B9">
            <w:pPr>
              <w:jc w:val="center"/>
              <w:rPr>
                <w:rFonts w:ascii="Calibri" w:eastAsia="Calibri" w:hAnsi="Calibri" w:cs="Times New Roman"/>
                <w:caps/>
                <w:sz w:val="20"/>
                <w:szCs w:val="20"/>
                <w:lang w:val="bs-Latn-BA"/>
              </w:rPr>
            </w:pPr>
            <w:r w:rsidRPr="006C69B9">
              <w:rPr>
                <w:rFonts w:ascii="Calibri" w:eastAsia="Calibri" w:hAnsi="Calibri" w:cs="Times New Roman"/>
                <w:caps/>
                <w:sz w:val="20"/>
                <w:szCs w:val="20"/>
                <w:lang w:val="bs-Latn-BA"/>
              </w:rPr>
              <w:t>Ukupno</w:t>
            </w:r>
          </w:p>
        </w:tc>
        <w:tc>
          <w:tcPr>
            <w:tcW w:w="2839" w:type="dxa"/>
          </w:tcPr>
          <w:p w:rsidR="006C69B9" w:rsidRPr="006C69B9" w:rsidRDefault="006C69B9" w:rsidP="006C69B9">
            <w:pPr>
              <w:jc w:val="center"/>
              <w:cnfStyle w:val="0000000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16,46</w:t>
            </w:r>
          </w:p>
        </w:tc>
        <w:tc>
          <w:tcPr>
            <w:tcW w:w="2385" w:type="dxa"/>
          </w:tcPr>
          <w:p w:rsidR="006C69B9" w:rsidRPr="006C69B9" w:rsidRDefault="006C69B9" w:rsidP="006C69B9">
            <w:pPr>
              <w:jc w:val="center"/>
              <w:cnfStyle w:val="000000000000"/>
              <w:rPr>
                <w:rFonts w:ascii="Calibri" w:eastAsia="Calibri" w:hAnsi="Calibri" w:cs="Times New Roman"/>
                <w:b/>
                <w:sz w:val="20"/>
                <w:szCs w:val="20"/>
                <w:lang w:val="bs-Latn-BA"/>
              </w:rPr>
            </w:pPr>
            <w:r w:rsidRPr="006C69B9">
              <w:rPr>
                <w:rFonts w:ascii="Calibri" w:eastAsia="Calibri" w:hAnsi="Calibri" w:cs="Times New Roman"/>
                <w:b/>
                <w:sz w:val="20"/>
                <w:szCs w:val="20"/>
                <w:lang w:val="bs-Latn-BA"/>
              </w:rPr>
              <w:t>237.653,10</w:t>
            </w:r>
          </w:p>
        </w:tc>
      </w:tr>
    </w:tbl>
    <w:p w:rsidR="006C69B9" w:rsidRPr="006C69B9" w:rsidRDefault="006C69B9" w:rsidP="006C69B9">
      <w:pPr>
        <w:spacing w:after="100" w:line="276" w:lineRule="auto"/>
        <w:jc w:val="center"/>
        <w:rPr>
          <w:rFonts w:ascii="Calibri" w:eastAsia="Calibri" w:hAnsi="Calibri" w:cs="Times New Roman"/>
          <w:lang w:val="bs-Latn-BA"/>
        </w:rPr>
      </w:pPr>
      <w:r w:rsidRPr="006C69B9">
        <w:rPr>
          <w:rFonts w:ascii="Calibri" w:eastAsia="Calibri" w:hAnsi="Calibri" w:cs="Times New Roman"/>
          <w:b/>
          <w:i/>
          <w:sz w:val="18"/>
          <w:szCs w:val="18"/>
          <w:lang w:val="bs-Latn-BA"/>
        </w:rPr>
        <w:t>Izvor podataka: Registar projekata OIEiEK (www.operatoroieiek.ba)</w:t>
      </w:r>
    </w:p>
    <w:p w:rsidR="006C69B9" w:rsidRPr="006C69B9" w:rsidRDefault="006C69B9" w:rsidP="006C69B9">
      <w:pPr>
        <w:spacing w:after="100" w:line="276" w:lineRule="auto"/>
        <w:jc w:val="center"/>
        <w:rPr>
          <w:rFonts w:ascii="Calibri" w:eastAsia="Calibri" w:hAnsi="Calibri" w:cs="Times New Roman"/>
          <w:lang w:val="bs-Latn-BA"/>
        </w:rPr>
      </w:pPr>
    </w:p>
    <w:p w:rsidR="006C69B9" w:rsidRPr="006C69B9" w:rsidRDefault="006C69B9" w:rsidP="006C69B9">
      <w:pPr>
        <w:spacing w:after="100" w:line="276" w:lineRule="auto"/>
        <w:jc w:val="both"/>
        <w:rPr>
          <w:rFonts w:ascii="Calibri" w:eastAsia="Calibri" w:hAnsi="Calibri" w:cs="Times New Roman"/>
          <w:lang w:val="bs-Latn-BA"/>
        </w:rPr>
      </w:pPr>
      <w:r w:rsidRPr="006C69B9">
        <w:rPr>
          <w:rFonts w:ascii="Calibri" w:eastAsia="Calibri" w:hAnsi="Calibri" w:cs="Times New Roman"/>
          <w:lang w:val="bs-Latn-BA"/>
        </w:rPr>
        <w:t>Iako se hidroenergija smatra okolišno prihvatljivijom u odnosu na energiju iz fosilnih goriva, ipak izgradnjom brana i akumulacija velikih hidroelektrana remete se vodeni ekosustavi uslijed izmjene režima toka vode, degradacije i fragmentacije staništa, čime se pridonosi procesima eutrofikacije i erozije, a uslijed punjenja sedimentom akumulacije imaju ograničen vijek trajanja. Iskorištavanje energije vjetra u EU je najbrže rastući segment proizvodnje iz obnovljivih izvora energije. U novije vrijeme i na području HNŽ-a počinje iskorištavanja energetskih potencijala vjetra. Prema raspoloživim podacima na području Županije mogu očekivati srednje brzine vjetra između 4,5 m/s i 6 m/s</w:t>
      </w:r>
      <w:r w:rsidRPr="006C69B9">
        <w:rPr>
          <w:rFonts w:ascii="Calibri" w:eastAsia="Calibri" w:hAnsi="Calibri" w:cs="Times New Roman"/>
          <w:vertAlign w:val="superscript"/>
          <w:lang w:val="bs-Latn-BA"/>
        </w:rPr>
        <w:footnoteReference w:id="42"/>
      </w:r>
      <w:r w:rsidRPr="006C69B9">
        <w:rPr>
          <w:rFonts w:ascii="Calibri" w:eastAsia="Calibri" w:hAnsi="Calibri" w:cs="Times New Roman"/>
          <w:lang w:val="bs-Latn-BA"/>
        </w:rPr>
        <w:t xml:space="preserve"> te postoji više lokacija s potencijalom proizvodnje električne energije. Posljednjih godina u Županiji su pokrenute aktivnosti na realizaciji projekata izgradnje VE Podveležje, VE Pločno, VE Velika Vlajna/Jastrebinka, VE Pakline i VE Ljubuša. S obzirom na broj sunčanih dana u godini, Županija (osobito njeni južni dijelovi) ima značajan potencijal proizvodnje energije iz fotonaponskih solarnih ćelija i solarnih kolektora. U proteklom periodu (2018.-2020.) u nadležnosti Ministarstva gospodarstva HNŽ/K dodijeljeno je ukupno 35 koncesija za 57 objekata fotonaponskih elektrana</w:t>
      </w:r>
      <w:r w:rsidRPr="006C69B9">
        <w:rPr>
          <w:rFonts w:ascii="Calibri" w:eastAsia="Calibri" w:hAnsi="Calibri" w:cs="Times New Roman"/>
          <w:vertAlign w:val="superscript"/>
          <w:lang w:val="bs-Latn-BA"/>
        </w:rPr>
        <w:footnoteReference w:id="43"/>
      </w:r>
      <w:r w:rsidRPr="006C69B9">
        <w:rPr>
          <w:rFonts w:ascii="Calibri" w:eastAsia="Calibri" w:hAnsi="Calibri" w:cs="Times New Roman"/>
          <w:lang w:val="bs-Latn-BA"/>
        </w:rPr>
        <w:t xml:space="preserve"> čija bi ukupna instalirana snaga trebala iznositi 1.004,53 kW. Najveća instalirana snaga objekata za koje su dodijeljene koncesije je na području Općine Stolac (7.856,85 kW), slijedi Općina Čitluk (1.298,68 kW), Općina Ravno (600 kW), Grad Mostar (150 kW) i Općina Prozor-Rama (135 kW). S obzirom na prirodne potencijale Županije u pogledu izvora obnovljive energije, postojeći trendovi iskorištavanja energije vjetra i Sunca, svakako imaju potencijal za daljnji razvoj, kako u proizvodnji električne energije, tako za uvođenje i razvoj sustava grijanja/hlađenja, koji u urbanim središtima Županije nedostaju.</w:t>
      </w:r>
    </w:p>
    <w:p w:rsidR="006C69B9" w:rsidRDefault="006C69B9"/>
    <w:sectPr w:rsidR="006C69B9" w:rsidSect="00FF4920">
      <w:headerReference w:type="even" r:id="rId50"/>
      <w:headerReference w:type="default" r:id="rId51"/>
      <w:footerReference w:type="default" r:id="rId52"/>
      <w:headerReference w:type="first" r:id="rId53"/>
      <w:pgSz w:w="11900" w:h="16840"/>
      <w:pgMar w:top="1134" w:right="1410" w:bottom="1135" w:left="144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334" w:rsidRDefault="00701334" w:rsidP="006C69B9">
      <w:pPr>
        <w:spacing w:after="0" w:line="240" w:lineRule="auto"/>
      </w:pPr>
      <w:r>
        <w:separator/>
      </w:r>
    </w:p>
  </w:endnote>
  <w:endnote w:type="continuationSeparator" w:id="0">
    <w:p w:rsidR="00701334" w:rsidRDefault="00701334" w:rsidP="006C69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
    <w:charset w:val="00"/>
    <w:family w:val="auto"/>
    <w:pitch w:val="variable"/>
    <w:sig w:usb0="00000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Myriad Pro Light SemiCond">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Identity-H">
    <w:altName w:val="MS Gothic"/>
    <w:panose1 w:val="00000000000000000000"/>
    <w:charset w:val="80"/>
    <w:family w:val="auto"/>
    <w:notTrueType/>
    <w:pitch w:val="default"/>
    <w:sig w:usb0="00000001" w:usb1="08070000" w:usb2="00000010" w:usb3="00000000" w:csb0="00020000" w:csb1="00000000"/>
  </w:font>
  <w:font w:name="Calibri-Bold-Identity-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CB7" w:rsidRPr="00DE07D7" w:rsidRDefault="009F107E" w:rsidP="009275BE">
    <w:pPr>
      <w:pStyle w:val="Podnoje"/>
      <w:pBdr>
        <w:top w:val="single" w:sz="4" w:space="1" w:color="auto"/>
      </w:pBdr>
      <w:jc w:val="right"/>
      <w:rPr>
        <w:sz w:val="16"/>
        <w:szCs w:val="16"/>
      </w:rPr>
    </w:pPr>
    <w:r w:rsidRPr="00DE07D7">
      <w:rPr>
        <w:sz w:val="16"/>
        <w:szCs w:val="16"/>
      </w:rPr>
      <w:fldChar w:fldCharType="begin"/>
    </w:r>
    <w:r w:rsidR="00F85905" w:rsidRPr="00DE07D7">
      <w:rPr>
        <w:sz w:val="16"/>
        <w:szCs w:val="16"/>
      </w:rPr>
      <w:instrText xml:space="preserve"> PAGE   \* MERGEFORMAT </w:instrText>
    </w:r>
    <w:r w:rsidRPr="00DE07D7">
      <w:rPr>
        <w:sz w:val="16"/>
        <w:szCs w:val="16"/>
      </w:rPr>
      <w:fldChar w:fldCharType="separate"/>
    </w:r>
    <w:r w:rsidR="0045437A">
      <w:rPr>
        <w:noProof/>
        <w:sz w:val="16"/>
        <w:szCs w:val="16"/>
      </w:rPr>
      <w:t>2</w:t>
    </w:r>
    <w:r w:rsidRPr="00DE07D7">
      <w:rPr>
        <w:noProof/>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334" w:rsidRDefault="00701334" w:rsidP="006C69B9">
      <w:pPr>
        <w:spacing w:after="0" w:line="240" w:lineRule="auto"/>
      </w:pPr>
      <w:r>
        <w:separator/>
      </w:r>
    </w:p>
  </w:footnote>
  <w:footnote w:type="continuationSeparator" w:id="0">
    <w:p w:rsidR="00701334" w:rsidRDefault="00701334" w:rsidP="006C69B9">
      <w:pPr>
        <w:spacing w:after="0" w:line="240" w:lineRule="auto"/>
      </w:pPr>
      <w:r>
        <w:continuationSeparator/>
      </w:r>
    </w:p>
  </w:footnote>
  <w:footnote w:id="1">
    <w:p w:rsidR="006C69B9" w:rsidRPr="00B335FD" w:rsidRDefault="006C69B9" w:rsidP="006C69B9">
      <w:pPr>
        <w:spacing w:after="0" w:line="240" w:lineRule="auto"/>
        <w:jc w:val="both"/>
        <w:rPr>
          <w:rFonts w:ascii="Times New Roman" w:eastAsia="Times New Roman" w:hAnsi="Times New Roman"/>
          <w:sz w:val="16"/>
          <w:szCs w:val="16"/>
        </w:rPr>
      </w:pPr>
      <w:r w:rsidRPr="00B335FD">
        <w:rPr>
          <w:rStyle w:val="Referencafusnote"/>
          <w:sz w:val="16"/>
          <w:szCs w:val="16"/>
        </w:rPr>
        <w:footnoteRef/>
      </w:r>
      <w:r w:rsidRPr="00B335FD">
        <w:rPr>
          <w:rFonts w:ascii="Times New Roman" w:eastAsia="Times New Roman" w:hAnsi="Times New Roman"/>
          <w:sz w:val="16"/>
          <w:szCs w:val="16"/>
        </w:rPr>
        <w:t xml:space="preserve"> </w:t>
      </w:r>
      <w:r w:rsidRPr="00B335FD">
        <w:rPr>
          <w:rFonts w:cs="Calibri"/>
          <w:color w:val="000000"/>
          <w:sz w:val="16"/>
          <w:szCs w:val="16"/>
        </w:rPr>
        <w:t>Veće nagibe od 8</w:t>
      </w:r>
      <w:r w:rsidRPr="00B335FD">
        <w:rPr>
          <w:rFonts w:ascii="Symbol" w:eastAsia="Symbol" w:hAnsi="Symbol" w:cs="Symbol"/>
          <w:color w:val="000000"/>
          <w:sz w:val="16"/>
          <w:szCs w:val="16"/>
        </w:rPr>
        <w:t></w:t>
      </w:r>
      <w:r w:rsidRPr="00B335FD">
        <w:rPr>
          <w:rFonts w:cs="Calibri"/>
          <w:color w:val="000000"/>
          <w:sz w:val="16"/>
          <w:szCs w:val="16"/>
        </w:rPr>
        <w:t xml:space="preserve"> nikako ne bi trebalo koristiti kao stalne oranice, nego ih oplemenjivati i proizvodno usmjeravati za vještačke ili čak prirodne livade. To se može postići primjenom mineralne fertilizacije, nadosijavanjem travnih smjesa, uporabom skarifikatora i sl.</w:t>
      </w:r>
    </w:p>
  </w:footnote>
  <w:footnote w:id="2">
    <w:p w:rsidR="006C69B9" w:rsidRPr="006C69B9" w:rsidRDefault="006C69B9" w:rsidP="006C69B9">
      <w:pPr>
        <w:pBdr>
          <w:top w:val="nil"/>
          <w:left w:val="nil"/>
          <w:bottom w:val="nil"/>
          <w:right w:val="nil"/>
          <w:between w:val="nil"/>
        </w:pBdr>
        <w:spacing w:after="120" w:line="240" w:lineRule="auto"/>
        <w:jc w:val="both"/>
        <w:rPr>
          <w:rFonts w:eastAsia="Verdana" w:cs="Calibri"/>
          <w:color w:val="333333"/>
          <w:sz w:val="16"/>
          <w:szCs w:val="16"/>
          <w:highlight w:val="white"/>
        </w:rPr>
      </w:pPr>
      <w:r w:rsidRPr="006C69B9">
        <w:rPr>
          <w:rStyle w:val="Referencafusnote"/>
          <w:rFonts w:cs="Calibri"/>
          <w:sz w:val="16"/>
          <w:szCs w:val="16"/>
        </w:rPr>
        <w:footnoteRef/>
      </w:r>
      <w:r w:rsidRPr="006C69B9">
        <w:rPr>
          <w:rFonts w:cs="Calibri"/>
          <w:color w:val="000000"/>
          <w:sz w:val="16"/>
          <w:szCs w:val="16"/>
        </w:rPr>
        <w:t xml:space="preserve"> </w:t>
      </w:r>
      <w:r w:rsidRPr="006C69B9">
        <w:rPr>
          <w:rFonts w:eastAsia="Verdana" w:cs="Calibri"/>
          <w:color w:val="333333"/>
          <w:sz w:val="16"/>
          <w:szCs w:val="16"/>
          <w:highlight w:val="white"/>
        </w:rPr>
        <w:t>obavlja upravne, nadzorne, stručne, analitičke, operativne i druge poslove koje se odnose na izvršavanje zakona, propisa i drugih općih akata u okviru nadležnosti, a posebno:pripremanje propisa iz oblasti šumarstva; praćenje podataka o stanju i razvoju šuma i upoznavanje javnosti s tim; donošenje županijskog razvojnog plana i usuglašavanje šumsko-gospodarske osnove s prostornim planom Županije i općina; pripremanje i izradu programa iz oblasti šumarstva koji se financiraju ili sufinanciraju iz namjenskog fonda Županije; iskorištavanje šuma i praćenje stanja drvnog fonda; poslove u svezi zamjene šumskog zemljišta; uzgoj i zaštitu šuma; praćenje realizacije Programa integralne zaštite šuma; pripremanje i davanje mišljenja za proglašenje zaštitnih šuma i šuma s posebnom namjenom; praćenje stanja i stupnja oštećenosti šuma putem podataka izvještajno-dojavne službe; pošumljavanje degradiranih i prorijeđenih šuma, goleti i krša; osiguravanje neposredne zaštite šuma putem čuvarske službe; proizvodnju i promet šumskog sjemena i sadnog materijala uz vođenje propisanih evidencija; rekonstrukciju i izgradnju šumskih prometnica i zaštitu izvorišta i vodotoka unutar šuma uz suglasnost nadležnog tijela za poslove vodoprivrede; lov i lovno gospodarstvo; proizvodnju i promet sporednih šumskih proizvoda ( ljekovitog bilja, gljiva, puževa, šumskih plodova i dr.); provođenje programa i iniciranje znanstveno-istraživačkog rada u šumarstvu; izdavanje stručno-popularnih publikacija o stanju šuma i njihovom značaju i ostale poslove u skladu sa zakonom i drugim propisima.</w:t>
      </w:r>
    </w:p>
    <w:p w:rsidR="006C69B9" w:rsidRDefault="006C69B9" w:rsidP="006C69B9">
      <w:pPr>
        <w:pBdr>
          <w:top w:val="nil"/>
          <w:left w:val="nil"/>
          <w:bottom w:val="nil"/>
          <w:right w:val="nil"/>
          <w:between w:val="nil"/>
        </w:pBdr>
        <w:spacing w:after="200" w:line="276" w:lineRule="auto"/>
        <w:rPr>
          <w:rFonts w:ascii="Times New Roman" w:eastAsia="Times New Roman" w:hAnsi="Times New Roman"/>
          <w:color w:val="000000"/>
          <w:sz w:val="20"/>
          <w:szCs w:val="20"/>
        </w:rPr>
      </w:pPr>
    </w:p>
  </w:footnote>
  <w:footnote w:id="3">
    <w:p w:rsidR="006C69B9" w:rsidRDefault="006C69B9" w:rsidP="006C69B9">
      <w:pPr>
        <w:pBdr>
          <w:top w:val="nil"/>
          <w:left w:val="nil"/>
          <w:bottom w:val="nil"/>
          <w:right w:val="nil"/>
          <w:between w:val="nil"/>
        </w:pBdr>
        <w:spacing w:after="200" w:line="276" w:lineRule="auto"/>
        <w:jc w:val="both"/>
        <w:rPr>
          <w:rFonts w:cs="Calibri"/>
          <w:color w:val="000000"/>
          <w:sz w:val="20"/>
          <w:szCs w:val="20"/>
        </w:rPr>
      </w:pPr>
      <w:r>
        <w:rPr>
          <w:rStyle w:val="Referencafusnote"/>
        </w:rPr>
        <w:footnoteRef/>
      </w:r>
      <w:r>
        <w:rPr>
          <w:rFonts w:cs="Calibri"/>
          <w:color w:val="000000"/>
          <w:sz w:val="20"/>
          <w:szCs w:val="20"/>
        </w:rPr>
        <w:t xml:space="preserve"> </w:t>
      </w:r>
      <w:r w:rsidRPr="006C69B9">
        <w:rPr>
          <w:rFonts w:ascii="Calibri Light" w:eastAsia="Tahoma" w:hAnsi="Calibri Light" w:cs="Calibri Light"/>
          <w:color w:val="000000"/>
          <w:sz w:val="18"/>
          <w:szCs w:val="18"/>
        </w:rPr>
        <w:t>Prema Nitratnoj direktivi, ograničenje unosa dušika je</w:t>
      </w:r>
      <w:r w:rsidRPr="006C69B9">
        <w:rPr>
          <w:rFonts w:ascii="Calibri Light" w:eastAsia="Tahoma" w:hAnsi="Calibri Light" w:cs="Calibri Light"/>
          <w:b/>
          <w:color w:val="000000"/>
          <w:sz w:val="18"/>
          <w:szCs w:val="18"/>
        </w:rPr>
        <w:t>210 kg</w:t>
      </w:r>
      <w:r w:rsidRPr="006C69B9">
        <w:rPr>
          <w:rFonts w:ascii="Calibri Light" w:eastAsia="Tahoma" w:hAnsi="Calibri Light" w:cs="Calibri Light"/>
          <w:color w:val="000000"/>
          <w:sz w:val="18"/>
          <w:szCs w:val="18"/>
        </w:rPr>
        <w:t>/ ha u prvom četverogodišnjem razdoblju nakon ulaska u EU i </w:t>
      </w:r>
      <w:r w:rsidRPr="006C69B9">
        <w:rPr>
          <w:rFonts w:ascii="Calibri Light" w:eastAsia="Tahoma" w:hAnsi="Calibri Light" w:cs="Calibri Light"/>
          <w:b/>
          <w:color w:val="000000"/>
          <w:sz w:val="18"/>
          <w:szCs w:val="18"/>
        </w:rPr>
        <w:t xml:space="preserve">170 kg/ha </w:t>
      </w:r>
      <w:r w:rsidRPr="006C69B9">
        <w:rPr>
          <w:rFonts w:ascii="Calibri Light" w:eastAsia="Tahoma" w:hAnsi="Calibri Light" w:cs="Calibri Light"/>
          <w:color w:val="000000"/>
          <w:sz w:val="18"/>
          <w:szCs w:val="18"/>
        </w:rPr>
        <w:t>dušika nakon prvog četverogodišnjeg razdoblja. To znači da je najveće dopušteno opterećenje gnojivima od</w:t>
      </w:r>
      <w:r w:rsidRPr="006C69B9">
        <w:rPr>
          <w:rFonts w:ascii="Calibri Light" w:eastAsia="Tahoma" w:hAnsi="Calibri Light" w:cs="Calibri Light"/>
          <w:b/>
          <w:color w:val="000000"/>
          <w:sz w:val="18"/>
          <w:szCs w:val="18"/>
        </w:rPr>
        <w:t xml:space="preserve"> 2 - 2,4 uvjetna grla stoke</w:t>
      </w:r>
      <w:r w:rsidRPr="006C69B9">
        <w:rPr>
          <w:rFonts w:ascii="Calibri Light" w:eastAsia="Tahoma" w:hAnsi="Calibri Light" w:cs="Calibri Light"/>
          <w:color w:val="000000"/>
          <w:sz w:val="18"/>
          <w:szCs w:val="18"/>
        </w:rPr>
        <w:t xml:space="preserve"> po hektaru (2 - 2,4 UG/ha), ovisno o vrsti stoke. Dakle,</w:t>
      </w:r>
      <w:r w:rsidRPr="006C69B9">
        <w:rPr>
          <w:rFonts w:ascii="Calibri Light" w:eastAsia="Tahoma" w:hAnsi="Calibri Light" w:cs="Calibri Light"/>
          <w:color w:val="444444"/>
          <w:sz w:val="18"/>
          <w:szCs w:val="18"/>
        </w:rPr>
        <w:t xml:space="preserve"> poljoprivredno </w:t>
      </w:r>
      <w:r w:rsidRPr="006C69B9">
        <w:rPr>
          <w:rFonts w:ascii="Calibri Light" w:hAnsi="Calibri Light" w:cs="Calibri Light"/>
          <w:color w:val="444444"/>
          <w:sz w:val="18"/>
          <w:szCs w:val="18"/>
        </w:rPr>
        <w:t xml:space="preserve">gospodarstvo za potrebe zbrinjavanja gnoja koji nastaje na farmi, mora imati najmanje </w:t>
      </w:r>
      <w:r w:rsidRPr="006C69B9">
        <w:rPr>
          <w:rFonts w:ascii="Calibri Light" w:hAnsi="Calibri Light" w:cs="Calibri Light"/>
          <w:b/>
          <w:color w:val="444444"/>
          <w:sz w:val="18"/>
          <w:szCs w:val="18"/>
        </w:rPr>
        <w:t>0,42 ha</w:t>
      </w:r>
      <w:r w:rsidRPr="006C69B9">
        <w:rPr>
          <w:rFonts w:ascii="Calibri Light" w:hAnsi="Calibri Light" w:cs="Calibri Light"/>
          <w:color w:val="444444"/>
          <w:sz w:val="18"/>
          <w:szCs w:val="18"/>
        </w:rPr>
        <w:t xml:space="preserve"> poljoprivrednog zemljišta po uvjetnom grlu.</w:t>
      </w:r>
    </w:p>
  </w:footnote>
  <w:footnote w:id="4">
    <w:p w:rsidR="006C69B9" w:rsidRDefault="006C69B9" w:rsidP="006C69B9">
      <w:pPr>
        <w:rPr>
          <w:sz w:val="20"/>
          <w:szCs w:val="20"/>
        </w:rPr>
      </w:pPr>
      <w:r>
        <w:rPr>
          <w:rStyle w:val="Referencafusnote"/>
        </w:rPr>
        <w:footnoteRef/>
      </w:r>
      <w:r>
        <w:t xml:space="preserve"> </w:t>
      </w:r>
      <w:r>
        <w:rPr>
          <w:sz w:val="20"/>
          <w:szCs w:val="20"/>
        </w:rPr>
        <w:t>Federalni zavod za statistiku. (2020). Hercegovačko-neretvanski kanton u brojkama. Sarajevo: Federalni zavod za statistiku.</w:t>
      </w:r>
    </w:p>
    <w:p w:rsidR="006C69B9" w:rsidRDefault="006C69B9" w:rsidP="006C69B9">
      <w:pPr>
        <w:pBdr>
          <w:top w:val="nil"/>
          <w:left w:val="nil"/>
          <w:bottom w:val="nil"/>
          <w:right w:val="nil"/>
          <w:between w:val="nil"/>
        </w:pBdr>
        <w:spacing w:after="200" w:line="276" w:lineRule="auto"/>
        <w:rPr>
          <w:rFonts w:cs="Calibri"/>
          <w:color w:val="000000"/>
          <w:sz w:val="20"/>
          <w:szCs w:val="20"/>
        </w:rPr>
      </w:pPr>
    </w:p>
  </w:footnote>
  <w:footnote w:id="5">
    <w:p w:rsidR="006C69B9" w:rsidRPr="006C69B9" w:rsidRDefault="006C69B9" w:rsidP="006C69B9">
      <w:pPr>
        <w:pStyle w:val="Tekstfusnote"/>
        <w:jc w:val="both"/>
        <w:rPr>
          <w:rFonts w:cs="Calibri"/>
        </w:rPr>
      </w:pPr>
      <w:r>
        <w:rPr>
          <w:rStyle w:val="Referencafusnote"/>
        </w:rPr>
        <w:footnoteRef/>
      </w:r>
      <w:r>
        <w:t xml:space="preserve"> </w:t>
      </w:r>
      <w:r w:rsidRPr="006C69B9">
        <w:rPr>
          <w:rFonts w:cs="Calibri"/>
        </w:rPr>
        <w:t>Primarna zdravstvena zaštita organizirana je na razini domova zdravlja: Mostar, Stari grad Mostar, Konjic, Jablanica, Prozor-Rama, Prozor-Šćipe, Čitluk, Čapljina, Stolac, Stolac - Uzinovići, Ravno i Neum. Sekundarna zdravstvena zaštita pruža se u bolničkim ustanovama: Kantonalna bolnica "dr. Safet Mujić" Mostar i Opća bolnica Konjic. Sveučilišna klinička bolnica Mostar je visoko diferencirana zdravstvena ustanova, organizirana da provodi sekundarnu i tercijarnu zdravstvenu zaštitu.</w:t>
      </w:r>
    </w:p>
  </w:footnote>
  <w:footnote w:id="6">
    <w:p w:rsidR="006C69B9" w:rsidRPr="004966F7" w:rsidRDefault="006C69B9" w:rsidP="006C69B9">
      <w:pPr>
        <w:pStyle w:val="Tekstfusnote"/>
        <w:rPr>
          <w:lang w:val="hr-BA"/>
        </w:rPr>
      </w:pPr>
      <w:r>
        <w:rPr>
          <w:rStyle w:val="Referencafusnote"/>
        </w:rPr>
        <w:footnoteRef/>
      </w:r>
      <w:r>
        <w:t xml:space="preserve"> </w:t>
      </w:r>
      <w:r>
        <w:rPr>
          <w:lang w:val="hr-BA"/>
        </w:rPr>
        <w:t>Izvor: Procjena ugroženosti područja HNŽ od prirodnih i drugih nesreća, 2016.</w:t>
      </w:r>
    </w:p>
  </w:footnote>
  <w:footnote w:id="7">
    <w:p w:rsidR="006C69B9" w:rsidRPr="00F32CB7" w:rsidRDefault="006C69B9" w:rsidP="006C69B9">
      <w:pPr>
        <w:pStyle w:val="Tekstfusnote"/>
      </w:pPr>
      <w:r w:rsidRPr="00F32CB7">
        <w:rPr>
          <w:rStyle w:val="Referencafusnote"/>
        </w:rPr>
        <w:footnoteRef/>
      </w:r>
      <w:r w:rsidRPr="00F32CB7">
        <w:t>Ministarstvo trgovine, turizma i zaštite okoliša (www. mtto-hnz-k.ba)</w:t>
      </w:r>
    </w:p>
  </w:footnote>
  <w:footnote w:id="8">
    <w:p w:rsidR="006C69B9" w:rsidRPr="00F32CB7" w:rsidRDefault="006C69B9" w:rsidP="006C69B9">
      <w:pPr>
        <w:pStyle w:val="Tekstfusnote"/>
      </w:pPr>
      <w:r w:rsidRPr="00F32CB7">
        <w:rPr>
          <w:rStyle w:val="Referencafusnote"/>
        </w:rPr>
        <w:footnoteRef/>
      </w:r>
      <w:r w:rsidRPr="00F32CB7">
        <w:t>Prostorna osnova HNŽ/K</w:t>
      </w:r>
    </w:p>
  </w:footnote>
  <w:footnote w:id="9">
    <w:p w:rsidR="006C69B9" w:rsidRDefault="006C69B9" w:rsidP="006C69B9">
      <w:pPr>
        <w:pStyle w:val="Tekstfusnote"/>
        <w:spacing w:after="0" w:line="240" w:lineRule="auto"/>
      </w:pPr>
      <w:r>
        <w:rPr>
          <w:rStyle w:val="Referencafusnote"/>
        </w:rPr>
        <w:footnoteRef/>
      </w:r>
      <w:r w:rsidRPr="004D193E">
        <w:t>Prostorna osnova HNŽ/K</w:t>
      </w:r>
    </w:p>
  </w:footnote>
  <w:footnote w:id="10">
    <w:p w:rsidR="006C69B9" w:rsidRPr="00D31DC4" w:rsidRDefault="006C69B9" w:rsidP="006C69B9">
      <w:pPr>
        <w:pStyle w:val="Tekstfusnote"/>
        <w:spacing w:after="0" w:line="240" w:lineRule="auto"/>
        <w:rPr>
          <w:rFonts w:ascii="Times New Roman" w:hAnsi="Times New Roman"/>
        </w:rPr>
      </w:pPr>
      <w:r>
        <w:rPr>
          <w:rStyle w:val="Referencafusnote"/>
        </w:rPr>
        <w:footnoteRef/>
      </w:r>
      <w:r w:rsidRPr="004D193E">
        <w:t>Izvješće o mjerenjima kvaliteta zraka na lokaciji poddionice Koridora Vc, Mostar jug – tunel Kvanj</w:t>
      </w:r>
    </w:p>
  </w:footnote>
  <w:footnote w:id="11">
    <w:p w:rsidR="006C69B9" w:rsidRPr="004D193E" w:rsidRDefault="006C69B9" w:rsidP="006C69B9">
      <w:pPr>
        <w:pStyle w:val="Tekstfusnote"/>
        <w:spacing w:after="0"/>
      </w:pPr>
      <w:r>
        <w:rPr>
          <w:rStyle w:val="Referencafusnote"/>
        </w:rPr>
        <w:footnoteRef/>
      </w:r>
      <w:r w:rsidRPr="004D193E">
        <w:t>Pedološka karta HNŽ-a (1:25 000)</w:t>
      </w:r>
    </w:p>
  </w:footnote>
  <w:footnote w:id="12">
    <w:p w:rsidR="006C69B9" w:rsidRPr="004D193E" w:rsidRDefault="006C69B9" w:rsidP="006C69B9">
      <w:pPr>
        <w:pStyle w:val="Tekstfusnote"/>
        <w:spacing w:after="0"/>
      </w:pPr>
      <w:r w:rsidRPr="004D193E">
        <w:rPr>
          <w:rStyle w:val="Referencafusnote"/>
        </w:rPr>
        <w:footnoteRef/>
      </w:r>
      <w:r w:rsidRPr="004D193E">
        <w:t xml:space="preserve"> Federalni zavod za programiranje razvoja, 2020.</w:t>
      </w:r>
    </w:p>
  </w:footnote>
  <w:footnote w:id="13">
    <w:p w:rsidR="006C69B9" w:rsidRPr="004D193E" w:rsidRDefault="006C69B9" w:rsidP="006C69B9">
      <w:pPr>
        <w:pStyle w:val="Tekstfusnote"/>
        <w:spacing w:after="0"/>
      </w:pPr>
      <w:r w:rsidRPr="004D193E">
        <w:rPr>
          <w:rStyle w:val="Referencafusnote"/>
        </w:rPr>
        <w:footnoteRef/>
      </w:r>
      <w:r w:rsidRPr="004D193E">
        <w:t>Studija - Karta uporabne vrijednosti zemljišta na području HNŽ/K, 2009.</w:t>
      </w:r>
    </w:p>
  </w:footnote>
  <w:footnote w:id="14">
    <w:p w:rsidR="006C69B9" w:rsidRPr="008E14CB" w:rsidRDefault="006C69B9" w:rsidP="006C69B9">
      <w:pPr>
        <w:pStyle w:val="Tekstfusnote"/>
        <w:spacing w:after="0" w:line="240" w:lineRule="auto"/>
        <w:rPr>
          <w:rFonts w:ascii="Times New Roman" w:hAnsi="Times New Roman"/>
        </w:rPr>
      </w:pPr>
      <w:r w:rsidRPr="008E14CB">
        <w:rPr>
          <w:rStyle w:val="Referencafusnote"/>
          <w:rFonts w:ascii="Times New Roman" w:hAnsi="Times New Roman"/>
        </w:rPr>
        <w:footnoteRef/>
      </w:r>
      <w:r w:rsidRPr="008E14CB">
        <w:rPr>
          <w:rFonts w:ascii="Times New Roman" w:hAnsi="Times New Roman"/>
        </w:rPr>
        <w:t xml:space="preserve"> </w:t>
      </w:r>
      <w:r w:rsidRPr="004D193E">
        <w:t>Federalni zavod za programiranje razvoja, 2020</w:t>
      </w:r>
    </w:p>
  </w:footnote>
  <w:footnote w:id="15">
    <w:p w:rsidR="006C69B9" w:rsidRPr="00430442" w:rsidRDefault="006C69B9" w:rsidP="006C69B9">
      <w:pPr>
        <w:pStyle w:val="Tekstfusnote"/>
        <w:spacing w:after="0" w:line="240" w:lineRule="auto"/>
        <w:rPr>
          <w:sz w:val="18"/>
          <w:szCs w:val="18"/>
        </w:rPr>
      </w:pPr>
      <w:r w:rsidRPr="00430442">
        <w:rPr>
          <w:rStyle w:val="Referencafusnote"/>
          <w:sz w:val="16"/>
          <w:szCs w:val="16"/>
        </w:rPr>
        <w:footnoteRef/>
      </w:r>
      <w:r w:rsidRPr="00430442">
        <w:rPr>
          <w:sz w:val="18"/>
          <w:szCs w:val="18"/>
        </w:rPr>
        <w:t>Studija - Karta uporabne vrijednosti zemljišta na području HNŽ/K, 2009.</w:t>
      </w:r>
    </w:p>
  </w:footnote>
  <w:footnote w:id="16">
    <w:p w:rsidR="006C69B9" w:rsidRPr="00430442" w:rsidRDefault="006C69B9" w:rsidP="006C69B9">
      <w:pPr>
        <w:pStyle w:val="Tekstfusnote"/>
        <w:spacing w:after="0"/>
        <w:rPr>
          <w:sz w:val="18"/>
          <w:szCs w:val="18"/>
        </w:rPr>
      </w:pPr>
      <w:r w:rsidRPr="00430442">
        <w:rPr>
          <w:rStyle w:val="Referencafusnote"/>
          <w:sz w:val="18"/>
          <w:szCs w:val="18"/>
        </w:rPr>
        <w:footnoteRef/>
      </w:r>
      <w:r w:rsidRPr="00430442">
        <w:rPr>
          <w:sz w:val="18"/>
          <w:szCs w:val="18"/>
        </w:rPr>
        <w:t>Registar ispuštanja zagađivača u zemljište, Federalno ministarstvo okoliša i turizma (www.fmoit.gov.ba)</w:t>
      </w:r>
    </w:p>
  </w:footnote>
  <w:footnote w:id="17">
    <w:p w:rsidR="006C69B9" w:rsidRPr="00430442" w:rsidRDefault="006C69B9" w:rsidP="006C69B9">
      <w:pPr>
        <w:pStyle w:val="Tekstfusnote"/>
        <w:spacing w:after="0"/>
        <w:rPr>
          <w:sz w:val="18"/>
          <w:szCs w:val="18"/>
        </w:rPr>
      </w:pPr>
      <w:r w:rsidRPr="00430442">
        <w:rPr>
          <w:rStyle w:val="Referencafusnote"/>
          <w:sz w:val="18"/>
          <w:szCs w:val="18"/>
        </w:rPr>
        <w:footnoteRef/>
      </w:r>
      <w:r w:rsidRPr="00430442">
        <w:rPr>
          <w:sz w:val="18"/>
          <w:szCs w:val="18"/>
        </w:rPr>
        <w:t>Studija - Karta uporabne vrijednosti zemljišta na području HNŽ/K, 2009.</w:t>
      </w:r>
    </w:p>
  </w:footnote>
  <w:footnote w:id="18">
    <w:p w:rsidR="006C69B9" w:rsidRPr="00430442" w:rsidRDefault="006C69B9" w:rsidP="006C69B9">
      <w:pPr>
        <w:pStyle w:val="Tekstfusnote"/>
        <w:spacing w:after="0"/>
        <w:rPr>
          <w:sz w:val="18"/>
          <w:szCs w:val="18"/>
        </w:rPr>
      </w:pPr>
      <w:r w:rsidRPr="00430442">
        <w:rPr>
          <w:rStyle w:val="Referencafusnote"/>
          <w:sz w:val="18"/>
          <w:szCs w:val="18"/>
        </w:rPr>
        <w:footnoteRef/>
      </w:r>
      <w:r w:rsidRPr="00430442">
        <w:rPr>
          <w:i/>
          <w:sz w:val="18"/>
          <w:szCs w:val="18"/>
        </w:rPr>
        <w:t>Pesticide Control and Reduction</w:t>
      </w:r>
      <w:r w:rsidRPr="00430442">
        <w:rPr>
          <w:sz w:val="18"/>
          <w:szCs w:val="18"/>
        </w:rPr>
        <w:t>, Interreg IPA Hrvatska-Bosna i Hercegovina-Crna Gora, 2017HR-BA-ME277 (2017-2019).</w:t>
      </w:r>
    </w:p>
  </w:footnote>
  <w:footnote w:id="19">
    <w:p w:rsidR="006C69B9" w:rsidRPr="004D193E" w:rsidRDefault="006C69B9" w:rsidP="006C69B9">
      <w:pPr>
        <w:pStyle w:val="Tekstfusnote"/>
        <w:spacing w:after="0"/>
      </w:pPr>
      <w:r w:rsidRPr="00430442">
        <w:rPr>
          <w:rStyle w:val="Referencafusnote"/>
          <w:sz w:val="18"/>
          <w:szCs w:val="18"/>
        </w:rPr>
        <w:footnoteRef/>
      </w:r>
      <w:r w:rsidRPr="00430442">
        <w:rPr>
          <w:sz w:val="18"/>
          <w:szCs w:val="18"/>
        </w:rPr>
        <w:t>Studija - Karta uporabne vrijednosti zemljišta na području HNŽ/K, 2009</w:t>
      </w:r>
      <w:r w:rsidRPr="004D193E">
        <w:t>.</w:t>
      </w:r>
    </w:p>
  </w:footnote>
  <w:footnote w:id="20">
    <w:p w:rsidR="006C69B9" w:rsidRPr="00657008" w:rsidRDefault="006C69B9" w:rsidP="006C69B9">
      <w:pPr>
        <w:pStyle w:val="Tekstfusnote"/>
        <w:spacing w:after="0" w:line="240" w:lineRule="auto"/>
        <w:rPr>
          <w:sz w:val="18"/>
          <w:szCs w:val="18"/>
        </w:rPr>
      </w:pPr>
      <w:r w:rsidRPr="004D193E">
        <w:rPr>
          <w:rStyle w:val="Referencafusnote"/>
        </w:rPr>
        <w:footnoteRef/>
      </w:r>
      <w:r w:rsidRPr="00657008">
        <w:rPr>
          <w:sz w:val="18"/>
          <w:szCs w:val="18"/>
        </w:rPr>
        <w:t>Studija - Karta uporabne vrijednosti zemljišta na području HNŽ/K, 2009.</w:t>
      </w:r>
    </w:p>
  </w:footnote>
  <w:footnote w:id="21">
    <w:p w:rsidR="006C69B9" w:rsidRPr="004D193E" w:rsidRDefault="006C69B9" w:rsidP="006C69B9">
      <w:pPr>
        <w:pStyle w:val="Tekstfusnote"/>
        <w:spacing w:after="0" w:line="240" w:lineRule="auto"/>
      </w:pPr>
      <w:r w:rsidRPr="00657008">
        <w:rPr>
          <w:rStyle w:val="Referencafusnote"/>
          <w:sz w:val="18"/>
          <w:szCs w:val="18"/>
        </w:rPr>
        <w:footnoteRef/>
      </w:r>
      <w:r w:rsidRPr="00657008">
        <w:rPr>
          <w:sz w:val="18"/>
          <w:szCs w:val="18"/>
        </w:rPr>
        <w:t>Prostorna osnova HNŽ/K</w:t>
      </w:r>
    </w:p>
  </w:footnote>
  <w:footnote w:id="22">
    <w:p w:rsidR="006C69B9" w:rsidRPr="0011388A" w:rsidRDefault="006C69B9" w:rsidP="006C69B9">
      <w:pPr>
        <w:pStyle w:val="Tekstfusnote"/>
        <w:rPr>
          <w:rFonts w:ascii="Times New Roman" w:hAnsi="Times New Roman"/>
        </w:rPr>
      </w:pPr>
      <w:r w:rsidRPr="004D193E">
        <w:rPr>
          <w:rStyle w:val="Referencafusnote"/>
        </w:rPr>
        <w:footnoteRef/>
      </w:r>
      <w:r w:rsidRPr="004D193E">
        <w:t xml:space="preserve"> Agencija za vodno područje Jadranskog mora, 2016-2019.</w:t>
      </w:r>
    </w:p>
  </w:footnote>
  <w:footnote w:id="23">
    <w:p w:rsidR="006C69B9" w:rsidRPr="0023047C" w:rsidRDefault="006C69B9" w:rsidP="006C69B9">
      <w:pPr>
        <w:pStyle w:val="Tekstfusnote"/>
        <w:rPr>
          <w:rFonts w:ascii="Times New Roman" w:hAnsi="Times New Roman"/>
        </w:rPr>
      </w:pPr>
      <w:r>
        <w:rPr>
          <w:rStyle w:val="Referencafusnote"/>
        </w:rPr>
        <w:footnoteRef/>
      </w:r>
      <w:r w:rsidRPr="00F03BEB">
        <w:t>Rješenje o proglašenju zaštićenih područja podložnih eutrofikaciji i osjetljivim na nitrate u Federaciji BiH, Federalno ministarstvo okoliša i turizma (br. 04-23-367/18)</w:t>
      </w:r>
    </w:p>
  </w:footnote>
  <w:footnote w:id="24">
    <w:p w:rsidR="006C69B9" w:rsidRPr="006C69B9" w:rsidRDefault="006C69B9" w:rsidP="006C69B9">
      <w:pPr>
        <w:pStyle w:val="Tekstfusnote"/>
        <w:spacing w:after="0" w:line="240" w:lineRule="auto"/>
        <w:rPr>
          <w:rFonts w:cs="Calibri"/>
          <w:sz w:val="18"/>
          <w:szCs w:val="18"/>
        </w:rPr>
      </w:pPr>
      <w:r w:rsidRPr="006C69B9">
        <w:rPr>
          <w:rStyle w:val="Referencafusnote"/>
          <w:rFonts w:cs="Calibri"/>
          <w:sz w:val="18"/>
          <w:szCs w:val="18"/>
        </w:rPr>
        <w:footnoteRef/>
      </w:r>
      <w:r w:rsidRPr="006C69B9">
        <w:rPr>
          <w:rFonts w:cs="Calibri"/>
          <w:sz w:val="18"/>
          <w:szCs w:val="18"/>
        </w:rPr>
        <w:t xml:space="preserve"> „Narodne novine HNŽ/K“, br. 4/2016 </w:t>
      </w:r>
    </w:p>
  </w:footnote>
  <w:footnote w:id="25">
    <w:p w:rsidR="006C69B9" w:rsidRPr="006C69B9" w:rsidRDefault="006C69B9" w:rsidP="006C69B9">
      <w:pPr>
        <w:pStyle w:val="Tekstfusnote"/>
        <w:spacing w:after="0" w:line="240" w:lineRule="auto"/>
        <w:rPr>
          <w:rFonts w:cs="Calibri"/>
          <w:sz w:val="18"/>
          <w:szCs w:val="18"/>
        </w:rPr>
      </w:pPr>
      <w:r w:rsidRPr="006C69B9">
        <w:rPr>
          <w:rStyle w:val="Referencafusnote"/>
          <w:rFonts w:cs="Calibri"/>
          <w:sz w:val="18"/>
          <w:szCs w:val="18"/>
        </w:rPr>
        <w:footnoteRef/>
      </w:r>
      <w:r w:rsidRPr="006C69B9">
        <w:rPr>
          <w:rFonts w:cs="Calibri"/>
          <w:sz w:val="18"/>
          <w:szCs w:val="18"/>
        </w:rPr>
        <w:t>Studija vrednovanja i pogodnosti prostora za prostorni razvoj HNŽ/K, 2011</w:t>
      </w:r>
    </w:p>
  </w:footnote>
  <w:footnote w:id="26">
    <w:p w:rsidR="006C69B9" w:rsidRPr="006C69B9" w:rsidRDefault="006C69B9" w:rsidP="006C69B9">
      <w:pPr>
        <w:pStyle w:val="Tekstfusnote"/>
        <w:spacing w:after="0" w:line="240" w:lineRule="auto"/>
        <w:rPr>
          <w:rFonts w:cs="Calibri"/>
          <w:sz w:val="18"/>
          <w:szCs w:val="18"/>
        </w:rPr>
      </w:pPr>
      <w:r w:rsidRPr="006C69B9">
        <w:rPr>
          <w:rStyle w:val="Referencafusnote"/>
          <w:rFonts w:cs="Calibri"/>
          <w:sz w:val="18"/>
          <w:szCs w:val="18"/>
        </w:rPr>
        <w:footnoteRef/>
      </w:r>
      <w:r w:rsidRPr="006C69B9">
        <w:rPr>
          <w:rFonts w:cs="Calibri"/>
          <w:sz w:val="18"/>
          <w:szCs w:val="18"/>
        </w:rPr>
        <w:t>Prostorna osnova HNŽ/K</w:t>
      </w:r>
    </w:p>
  </w:footnote>
  <w:footnote w:id="27">
    <w:p w:rsidR="006C69B9" w:rsidRDefault="006C69B9" w:rsidP="006C69B9">
      <w:pPr>
        <w:pStyle w:val="Tekstfusnote"/>
        <w:spacing w:after="0"/>
      </w:pPr>
      <w:r w:rsidRPr="004D193E">
        <w:rPr>
          <w:rStyle w:val="Referencafusnote"/>
        </w:rPr>
        <w:footnoteRef/>
      </w:r>
      <w:r w:rsidRPr="004D193E">
        <w:t>Izvješće o razvitku s pregledom provedbe strategije razvitka HNŽ-a za 2018. godinu</w:t>
      </w:r>
    </w:p>
  </w:footnote>
  <w:footnote w:id="28">
    <w:p w:rsidR="006C69B9" w:rsidRPr="00F03BEB" w:rsidRDefault="006C69B9" w:rsidP="006C69B9">
      <w:pPr>
        <w:pStyle w:val="Tekstfusnote"/>
        <w:spacing w:after="0"/>
      </w:pPr>
      <w:r>
        <w:rPr>
          <w:rStyle w:val="Referencafusnote"/>
        </w:rPr>
        <w:footnoteRef/>
      </w:r>
      <w:r w:rsidRPr="00F03BEB">
        <w:t>Zavod za javno zdravstvo HNŽ, 2020</w:t>
      </w:r>
    </w:p>
  </w:footnote>
  <w:footnote w:id="29">
    <w:p w:rsidR="006C69B9" w:rsidRPr="00F03BEB" w:rsidRDefault="006C69B9" w:rsidP="006C69B9">
      <w:pPr>
        <w:pStyle w:val="Tekstfusnote"/>
        <w:spacing w:after="0"/>
      </w:pPr>
      <w:r w:rsidRPr="00F03BEB">
        <w:rPr>
          <w:rStyle w:val="Referencafusnote"/>
        </w:rPr>
        <w:footnoteRef/>
      </w:r>
      <w:r w:rsidRPr="00F03BEB">
        <w:t>Nacrt upravljanja otpadom na području HNŽ/K</w:t>
      </w:r>
    </w:p>
  </w:footnote>
  <w:footnote w:id="30">
    <w:p w:rsidR="006C69B9" w:rsidRPr="00F03BEB" w:rsidRDefault="006C69B9" w:rsidP="006C69B9">
      <w:pPr>
        <w:pStyle w:val="Tekstfusnote"/>
        <w:spacing w:after="0"/>
      </w:pPr>
      <w:r w:rsidRPr="00F03BEB">
        <w:rPr>
          <w:rStyle w:val="Referencafusnote"/>
        </w:rPr>
        <w:footnoteRef/>
      </w:r>
      <w:r w:rsidRPr="00F03BEB">
        <w:t>Izvješće o razvitku s pregledom provedbe strategije razvitka HNŽ-a za 2018. godinu</w:t>
      </w:r>
    </w:p>
  </w:footnote>
  <w:footnote w:id="31">
    <w:p w:rsidR="006C69B9" w:rsidRPr="00F03BEB" w:rsidRDefault="006C69B9" w:rsidP="006C69B9">
      <w:pPr>
        <w:pStyle w:val="Tekstfusnote"/>
        <w:spacing w:after="0"/>
      </w:pPr>
      <w:r w:rsidRPr="00F03BEB">
        <w:rPr>
          <w:rStyle w:val="Referencafusnote"/>
        </w:rPr>
        <w:footnoteRef/>
      </w:r>
      <w:r w:rsidRPr="00F03BEB">
        <w:t>Registar o postrojenjima i zagađivanjima Federalnog ministarstva okoliša i turizma (www.fmoit.gov.ba)</w:t>
      </w:r>
    </w:p>
  </w:footnote>
  <w:footnote w:id="32">
    <w:p w:rsidR="006C69B9" w:rsidRPr="00977B2F" w:rsidRDefault="006C69B9" w:rsidP="006C69B9">
      <w:pPr>
        <w:pStyle w:val="Tekstfusnote"/>
        <w:spacing w:after="0"/>
        <w:rPr>
          <w:rFonts w:ascii="Times New Roman" w:hAnsi="Times New Roman"/>
        </w:rPr>
      </w:pPr>
      <w:r w:rsidRPr="00F03BEB">
        <w:rPr>
          <w:rStyle w:val="Referencafusnote"/>
        </w:rPr>
        <w:footnoteRef/>
      </w:r>
      <w:r w:rsidRPr="00F03BEB">
        <w:t>Registar dozvola za upravljanje otpadom Ministarstva trgovine, turizma i zaštite okoliša HNŽ/K (www.mtto-hnz-k.ba)</w:t>
      </w:r>
    </w:p>
  </w:footnote>
  <w:footnote w:id="33">
    <w:p w:rsidR="006C69B9" w:rsidRPr="00657008" w:rsidRDefault="006C69B9" w:rsidP="006C69B9">
      <w:pPr>
        <w:pStyle w:val="Tekstfusnote"/>
        <w:spacing w:after="0" w:line="240" w:lineRule="auto"/>
        <w:rPr>
          <w:sz w:val="18"/>
          <w:szCs w:val="18"/>
        </w:rPr>
      </w:pPr>
      <w:r w:rsidRPr="00657008">
        <w:rPr>
          <w:rStyle w:val="Referencafusnote"/>
          <w:sz w:val="18"/>
          <w:szCs w:val="18"/>
        </w:rPr>
        <w:footnoteRef/>
      </w:r>
      <w:r w:rsidRPr="00657008">
        <w:rPr>
          <w:sz w:val="18"/>
          <w:szCs w:val="18"/>
        </w:rPr>
        <w:t>www.jpautoceste.ba</w:t>
      </w:r>
    </w:p>
  </w:footnote>
  <w:footnote w:id="34">
    <w:p w:rsidR="006C69B9" w:rsidRPr="00657008" w:rsidRDefault="006C69B9" w:rsidP="006C69B9">
      <w:pPr>
        <w:pStyle w:val="Tekstfusnote"/>
        <w:spacing w:after="0" w:line="240" w:lineRule="auto"/>
        <w:rPr>
          <w:sz w:val="18"/>
          <w:szCs w:val="18"/>
        </w:rPr>
      </w:pPr>
      <w:r w:rsidRPr="00657008">
        <w:rPr>
          <w:rStyle w:val="Referencafusnote"/>
          <w:sz w:val="18"/>
          <w:szCs w:val="18"/>
        </w:rPr>
        <w:footnoteRef/>
      </w:r>
      <w:r w:rsidRPr="00657008">
        <w:rPr>
          <w:sz w:val="18"/>
          <w:szCs w:val="18"/>
        </w:rPr>
        <w:t xml:space="preserve"> Prostorno-prometna studija cestovne mreže HNŽ/K, 2006</w:t>
      </w:r>
    </w:p>
  </w:footnote>
  <w:footnote w:id="35">
    <w:p w:rsidR="006C69B9" w:rsidRPr="00657008" w:rsidRDefault="006C69B9" w:rsidP="006C69B9">
      <w:pPr>
        <w:pStyle w:val="Tekstfusnote"/>
        <w:spacing w:after="0" w:line="240" w:lineRule="auto"/>
        <w:rPr>
          <w:sz w:val="18"/>
          <w:szCs w:val="18"/>
        </w:rPr>
      </w:pPr>
      <w:r w:rsidRPr="00657008">
        <w:rPr>
          <w:rStyle w:val="Referencafusnote"/>
          <w:sz w:val="18"/>
          <w:szCs w:val="18"/>
        </w:rPr>
        <w:footnoteRef/>
      </w:r>
      <w:r w:rsidRPr="00657008">
        <w:rPr>
          <w:sz w:val="18"/>
          <w:szCs w:val="18"/>
        </w:rPr>
        <w:t xml:space="preserve"> Federalni zavod za programiranje razvoja, 2020</w:t>
      </w:r>
    </w:p>
  </w:footnote>
  <w:footnote w:id="36">
    <w:p w:rsidR="006C69B9" w:rsidRDefault="006C69B9" w:rsidP="006C69B9">
      <w:pPr>
        <w:pStyle w:val="Tekstfusnote"/>
        <w:spacing w:after="0" w:line="240" w:lineRule="auto"/>
      </w:pPr>
      <w:r w:rsidRPr="00657008">
        <w:rPr>
          <w:rStyle w:val="Referencafusnote"/>
          <w:sz w:val="18"/>
          <w:szCs w:val="18"/>
        </w:rPr>
        <w:footnoteRef/>
      </w:r>
      <w:r w:rsidRPr="00657008">
        <w:rPr>
          <w:sz w:val="18"/>
          <w:szCs w:val="18"/>
        </w:rPr>
        <w:t>Federalni zavod za programiranje razvoja, 2019.</w:t>
      </w:r>
    </w:p>
  </w:footnote>
  <w:footnote w:id="37">
    <w:p w:rsidR="006C69B9" w:rsidRDefault="006C69B9" w:rsidP="006C69B9">
      <w:pPr>
        <w:pStyle w:val="Tekstfusnote"/>
      </w:pPr>
      <w:r>
        <w:rPr>
          <w:rStyle w:val="Referencafusnote"/>
        </w:rPr>
        <w:footnoteRef/>
      </w:r>
      <w:r w:rsidRPr="004D193E">
        <w:t>Federalni zavod za statistiku, 2020.</w:t>
      </w:r>
    </w:p>
  </w:footnote>
  <w:footnote w:id="38">
    <w:p w:rsidR="006C69B9" w:rsidRPr="00657008" w:rsidRDefault="006C69B9" w:rsidP="006C69B9">
      <w:pPr>
        <w:pStyle w:val="Tekstfusnote"/>
        <w:spacing w:after="0" w:line="240" w:lineRule="auto"/>
        <w:rPr>
          <w:sz w:val="18"/>
          <w:szCs w:val="18"/>
        </w:rPr>
      </w:pPr>
      <w:r w:rsidRPr="00657008">
        <w:rPr>
          <w:rStyle w:val="Referencafusnote"/>
          <w:sz w:val="18"/>
          <w:szCs w:val="18"/>
        </w:rPr>
        <w:footnoteRef/>
      </w:r>
      <w:r w:rsidRPr="00657008">
        <w:rPr>
          <w:sz w:val="18"/>
          <w:szCs w:val="18"/>
        </w:rPr>
        <w:t>Prostorna osnova HNŽ/K</w:t>
      </w:r>
    </w:p>
  </w:footnote>
  <w:footnote w:id="39">
    <w:p w:rsidR="006C69B9" w:rsidRPr="004D193E" w:rsidRDefault="006C69B9" w:rsidP="006C69B9">
      <w:pPr>
        <w:pStyle w:val="Tekstfusnote"/>
        <w:spacing w:after="0" w:line="240" w:lineRule="auto"/>
      </w:pPr>
      <w:r w:rsidRPr="00657008">
        <w:rPr>
          <w:rStyle w:val="Referencafusnote"/>
          <w:sz w:val="18"/>
          <w:szCs w:val="18"/>
        </w:rPr>
        <w:footnoteRef/>
      </w:r>
      <w:r w:rsidRPr="00657008">
        <w:rPr>
          <w:sz w:val="18"/>
          <w:szCs w:val="18"/>
        </w:rPr>
        <w:t>Izvješće o razvitku s pregledom provedbe strategije razvitka HNŽ-a za 2018. godinu</w:t>
      </w:r>
    </w:p>
  </w:footnote>
  <w:footnote w:id="40">
    <w:p w:rsidR="006C69B9" w:rsidRPr="00657008" w:rsidRDefault="006C69B9" w:rsidP="006C69B9">
      <w:pPr>
        <w:pStyle w:val="Tekstfusnote"/>
        <w:spacing w:after="0" w:line="240" w:lineRule="auto"/>
        <w:rPr>
          <w:sz w:val="18"/>
          <w:szCs w:val="18"/>
        </w:rPr>
      </w:pPr>
      <w:r w:rsidRPr="00657008">
        <w:rPr>
          <w:rStyle w:val="Referencafusnote"/>
          <w:sz w:val="18"/>
          <w:szCs w:val="18"/>
        </w:rPr>
        <w:footnoteRef/>
      </w:r>
      <w:r w:rsidRPr="00657008">
        <w:rPr>
          <w:sz w:val="18"/>
          <w:szCs w:val="18"/>
        </w:rPr>
        <w:t>Prostorna osnova HNŽ/K</w:t>
      </w:r>
    </w:p>
  </w:footnote>
  <w:footnote w:id="41">
    <w:p w:rsidR="006C69B9" w:rsidRPr="00205CB8" w:rsidRDefault="006C69B9" w:rsidP="006C69B9">
      <w:pPr>
        <w:pStyle w:val="Tekstfusnote"/>
        <w:spacing w:after="0" w:line="240" w:lineRule="auto"/>
        <w:rPr>
          <w:rFonts w:ascii="Times New Roman" w:hAnsi="Times New Roman"/>
        </w:rPr>
      </w:pPr>
      <w:r w:rsidRPr="00657008">
        <w:rPr>
          <w:rStyle w:val="Referencafusnote"/>
          <w:sz w:val="18"/>
          <w:szCs w:val="18"/>
        </w:rPr>
        <w:footnoteRef/>
      </w:r>
      <w:r w:rsidRPr="00657008">
        <w:rPr>
          <w:sz w:val="18"/>
          <w:szCs w:val="18"/>
        </w:rPr>
        <w:t>Federalni zavod za programiranje razvoja, 2020</w:t>
      </w:r>
    </w:p>
  </w:footnote>
  <w:footnote w:id="42">
    <w:p w:rsidR="006C69B9" w:rsidRPr="00657008" w:rsidRDefault="006C69B9" w:rsidP="006C69B9">
      <w:pPr>
        <w:pStyle w:val="Tekstfusnote"/>
        <w:spacing w:after="0" w:line="240" w:lineRule="auto"/>
        <w:rPr>
          <w:sz w:val="18"/>
          <w:szCs w:val="18"/>
        </w:rPr>
      </w:pPr>
      <w:r w:rsidRPr="00657008">
        <w:rPr>
          <w:rStyle w:val="Referencafusnote"/>
          <w:sz w:val="18"/>
          <w:szCs w:val="18"/>
        </w:rPr>
        <w:footnoteRef/>
      </w:r>
      <w:r w:rsidRPr="00657008">
        <w:rPr>
          <w:sz w:val="18"/>
          <w:szCs w:val="18"/>
        </w:rPr>
        <w:t>Global Wind Atlas</w:t>
      </w:r>
    </w:p>
  </w:footnote>
  <w:footnote w:id="43">
    <w:p w:rsidR="006C69B9" w:rsidRDefault="006C69B9" w:rsidP="006C69B9">
      <w:pPr>
        <w:pStyle w:val="Tekstfusnote"/>
        <w:spacing w:after="0" w:line="240" w:lineRule="auto"/>
      </w:pPr>
      <w:r w:rsidRPr="00657008">
        <w:rPr>
          <w:rStyle w:val="Referencafusnote"/>
          <w:sz w:val="18"/>
          <w:szCs w:val="18"/>
        </w:rPr>
        <w:footnoteRef/>
      </w:r>
      <w:r w:rsidRPr="00657008">
        <w:rPr>
          <w:sz w:val="18"/>
          <w:szCs w:val="18"/>
        </w:rPr>
        <w:t>Ministarstvo gospodarstva HNŽ/K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CB7" w:rsidRDefault="009F107E">
    <w:pPr>
      <w:pStyle w:val="Zaglavlje"/>
    </w:pPr>
    <w:r w:rsidRPr="009F107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43097" o:spid="_x0000_s2050" type="#_x0000_t136" style="position:absolute;margin-left:0;margin-top:0;width:397.4pt;height:238.45pt;rotation:315;z-index:-251656192;mso-position-horizontal:center;mso-position-horizontal-relative:margin;mso-position-vertical:center;mso-position-vertical-relative:margin" o:allowincell="f" fillcolor="silver" stroked="f">
          <v:fill opacity=".5"/>
          <v:textpath style="font-family:&quot;Calibri&quot;;font-size:1pt" string="NACR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CB7" w:rsidRDefault="009F107E">
    <w:pPr>
      <w:pStyle w:val="Zaglavlje"/>
    </w:pPr>
    <w:r w:rsidRPr="009F107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43098" o:spid="_x0000_s2051" type="#_x0000_t136" style="position:absolute;margin-left:0;margin-top:0;width:397.4pt;height:238.45pt;rotation:315;z-index:-251655168;mso-position-horizontal:center;mso-position-horizontal-relative:margin;mso-position-vertical:center;mso-position-vertical-relative:margin" o:allowincell="f" fillcolor="silver" stroked="f">
          <v:fill opacity=".5"/>
          <v:textpath style="font-family:&quot;Calibri&quot;;font-size:1pt" string="NACR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CB7" w:rsidRDefault="009F107E">
    <w:pPr>
      <w:pStyle w:val="Zaglavlje"/>
    </w:pPr>
    <w:r w:rsidRPr="009F107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43096" o:spid="_x0000_s2049" type="#_x0000_t136" style="position:absolute;margin-left:0;margin-top:0;width:397.4pt;height:238.45pt;rotation:315;z-index:-251657216;mso-position-horizontal:center;mso-position-horizontal-relative:margin;mso-position-vertical:center;mso-position-vertical-relative:margin" o:allowincell="f" fillcolor="silver" stroked="f">
          <v:fill opacity=".5"/>
          <v:textpath style="font-family:&quot;Calibri&quot;;font-size:1pt" string="NACR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382"/>
    <w:multiLevelType w:val="multilevel"/>
    <w:tmpl w:val="D9E26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7D7298"/>
    <w:multiLevelType w:val="hybridMultilevel"/>
    <w:tmpl w:val="C3925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D7B86"/>
    <w:multiLevelType w:val="hybridMultilevel"/>
    <w:tmpl w:val="FC5C1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93B00"/>
    <w:multiLevelType w:val="hybridMultilevel"/>
    <w:tmpl w:val="9B42A8FE"/>
    <w:lvl w:ilvl="0" w:tplc="982A1634">
      <w:start w:val="1"/>
      <w:numFmt w:val="decimal"/>
      <w:lvlText w:val="%1."/>
      <w:lvlJc w:val="left"/>
      <w:pPr>
        <w:ind w:left="720" w:hanging="360"/>
      </w:pPr>
      <w:rPr>
        <w:rFonts w:asciiTheme="minorHAnsi" w:eastAsiaTheme="minorHAnsi" w:hAnsiTheme="minorHAnsi" w:cstheme="minorHAnsi"/>
        <w:color w:val="222222"/>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D23CF"/>
    <w:multiLevelType w:val="multilevel"/>
    <w:tmpl w:val="FB909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B5026BB"/>
    <w:multiLevelType w:val="hybridMultilevel"/>
    <w:tmpl w:val="34F4ECEC"/>
    <w:lvl w:ilvl="0" w:tplc="D988F186">
      <w:start w:val="1"/>
      <w:numFmt w:val="decimal"/>
      <w:lvlText w:val="%1."/>
      <w:lvlJc w:val="left"/>
      <w:pPr>
        <w:ind w:left="1353" w:hanging="360"/>
      </w:pPr>
      <w:rPr>
        <w:rFonts w:ascii="Times New Roman" w:eastAsiaTheme="minorHAnsi" w:hAnsi="Times New Roman" w:cs="Times New Roman" w:hint="default"/>
      </w:rPr>
    </w:lvl>
    <w:lvl w:ilvl="1" w:tplc="041A0019">
      <w:start w:val="1"/>
      <w:numFmt w:val="lowerLetter"/>
      <w:lvlText w:val="%2."/>
      <w:lvlJc w:val="left"/>
      <w:pPr>
        <w:ind w:left="2073" w:hanging="360"/>
      </w:pPr>
    </w:lvl>
    <w:lvl w:ilvl="2" w:tplc="041A001B">
      <w:start w:val="1"/>
      <w:numFmt w:val="lowerRoman"/>
      <w:lvlText w:val="%3."/>
      <w:lvlJc w:val="right"/>
      <w:pPr>
        <w:ind w:left="2793" w:hanging="180"/>
      </w:pPr>
    </w:lvl>
    <w:lvl w:ilvl="3" w:tplc="041A000F">
      <w:start w:val="1"/>
      <w:numFmt w:val="decimal"/>
      <w:lvlText w:val="%4."/>
      <w:lvlJc w:val="left"/>
      <w:pPr>
        <w:ind w:left="3513" w:hanging="360"/>
      </w:pPr>
    </w:lvl>
    <w:lvl w:ilvl="4" w:tplc="041A0019">
      <w:start w:val="1"/>
      <w:numFmt w:val="lowerLetter"/>
      <w:lvlText w:val="%5."/>
      <w:lvlJc w:val="left"/>
      <w:pPr>
        <w:ind w:left="4233" w:hanging="360"/>
      </w:pPr>
    </w:lvl>
    <w:lvl w:ilvl="5" w:tplc="041A001B">
      <w:start w:val="1"/>
      <w:numFmt w:val="lowerRoman"/>
      <w:lvlText w:val="%6."/>
      <w:lvlJc w:val="right"/>
      <w:pPr>
        <w:ind w:left="4953" w:hanging="180"/>
      </w:pPr>
    </w:lvl>
    <w:lvl w:ilvl="6" w:tplc="041A000F">
      <w:start w:val="1"/>
      <w:numFmt w:val="decimal"/>
      <w:lvlText w:val="%7."/>
      <w:lvlJc w:val="left"/>
      <w:pPr>
        <w:ind w:left="5673" w:hanging="360"/>
      </w:pPr>
    </w:lvl>
    <w:lvl w:ilvl="7" w:tplc="041A0019">
      <w:start w:val="1"/>
      <w:numFmt w:val="lowerLetter"/>
      <w:lvlText w:val="%8."/>
      <w:lvlJc w:val="left"/>
      <w:pPr>
        <w:ind w:left="6393" w:hanging="360"/>
      </w:pPr>
    </w:lvl>
    <w:lvl w:ilvl="8" w:tplc="041A001B">
      <w:start w:val="1"/>
      <w:numFmt w:val="lowerRoman"/>
      <w:lvlText w:val="%9."/>
      <w:lvlJc w:val="right"/>
      <w:pPr>
        <w:ind w:left="7113" w:hanging="180"/>
      </w:pPr>
    </w:lvl>
  </w:abstractNum>
  <w:abstractNum w:abstractNumId="6">
    <w:nsid w:val="1479222E"/>
    <w:multiLevelType w:val="hybridMultilevel"/>
    <w:tmpl w:val="D2B28D60"/>
    <w:lvl w:ilvl="0" w:tplc="1F54475A">
      <w:start w:val="32"/>
      <w:numFmt w:val="bullet"/>
      <w:lvlText w:val="-"/>
      <w:lvlJc w:val="left"/>
      <w:pPr>
        <w:ind w:left="835" w:hanging="360"/>
      </w:pPr>
      <w:rPr>
        <w:rFonts w:ascii="Calibri" w:eastAsia="Calibri" w:hAnsi="Calibri" w:cs="Times New Roman" w:hint="default"/>
      </w:rPr>
    </w:lvl>
    <w:lvl w:ilvl="1" w:tplc="141A0003" w:tentative="1">
      <w:start w:val="1"/>
      <w:numFmt w:val="bullet"/>
      <w:lvlText w:val="o"/>
      <w:lvlJc w:val="left"/>
      <w:pPr>
        <w:ind w:left="1555" w:hanging="360"/>
      </w:pPr>
      <w:rPr>
        <w:rFonts w:ascii="Courier New" w:hAnsi="Courier New" w:cs="Courier New" w:hint="default"/>
      </w:rPr>
    </w:lvl>
    <w:lvl w:ilvl="2" w:tplc="141A0005" w:tentative="1">
      <w:start w:val="1"/>
      <w:numFmt w:val="bullet"/>
      <w:lvlText w:val=""/>
      <w:lvlJc w:val="left"/>
      <w:pPr>
        <w:ind w:left="2275" w:hanging="360"/>
      </w:pPr>
      <w:rPr>
        <w:rFonts w:ascii="Wingdings" w:hAnsi="Wingdings" w:hint="default"/>
      </w:rPr>
    </w:lvl>
    <w:lvl w:ilvl="3" w:tplc="141A0001" w:tentative="1">
      <w:start w:val="1"/>
      <w:numFmt w:val="bullet"/>
      <w:lvlText w:val=""/>
      <w:lvlJc w:val="left"/>
      <w:pPr>
        <w:ind w:left="2995" w:hanging="360"/>
      </w:pPr>
      <w:rPr>
        <w:rFonts w:ascii="Symbol" w:hAnsi="Symbol" w:hint="default"/>
      </w:rPr>
    </w:lvl>
    <w:lvl w:ilvl="4" w:tplc="141A0003" w:tentative="1">
      <w:start w:val="1"/>
      <w:numFmt w:val="bullet"/>
      <w:lvlText w:val="o"/>
      <w:lvlJc w:val="left"/>
      <w:pPr>
        <w:ind w:left="3715" w:hanging="360"/>
      </w:pPr>
      <w:rPr>
        <w:rFonts w:ascii="Courier New" w:hAnsi="Courier New" w:cs="Courier New" w:hint="default"/>
      </w:rPr>
    </w:lvl>
    <w:lvl w:ilvl="5" w:tplc="141A0005" w:tentative="1">
      <w:start w:val="1"/>
      <w:numFmt w:val="bullet"/>
      <w:lvlText w:val=""/>
      <w:lvlJc w:val="left"/>
      <w:pPr>
        <w:ind w:left="4435" w:hanging="360"/>
      </w:pPr>
      <w:rPr>
        <w:rFonts w:ascii="Wingdings" w:hAnsi="Wingdings" w:hint="default"/>
      </w:rPr>
    </w:lvl>
    <w:lvl w:ilvl="6" w:tplc="141A0001" w:tentative="1">
      <w:start w:val="1"/>
      <w:numFmt w:val="bullet"/>
      <w:lvlText w:val=""/>
      <w:lvlJc w:val="left"/>
      <w:pPr>
        <w:ind w:left="5155" w:hanging="360"/>
      </w:pPr>
      <w:rPr>
        <w:rFonts w:ascii="Symbol" w:hAnsi="Symbol" w:hint="default"/>
      </w:rPr>
    </w:lvl>
    <w:lvl w:ilvl="7" w:tplc="141A0003" w:tentative="1">
      <w:start w:val="1"/>
      <w:numFmt w:val="bullet"/>
      <w:lvlText w:val="o"/>
      <w:lvlJc w:val="left"/>
      <w:pPr>
        <w:ind w:left="5875" w:hanging="360"/>
      </w:pPr>
      <w:rPr>
        <w:rFonts w:ascii="Courier New" w:hAnsi="Courier New" w:cs="Courier New" w:hint="default"/>
      </w:rPr>
    </w:lvl>
    <w:lvl w:ilvl="8" w:tplc="141A0005" w:tentative="1">
      <w:start w:val="1"/>
      <w:numFmt w:val="bullet"/>
      <w:lvlText w:val=""/>
      <w:lvlJc w:val="left"/>
      <w:pPr>
        <w:ind w:left="6595" w:hanging="360"/>
      </w:pPr>
      <w:rPr>
        <w:rFonts w:ascii="Wingdings" w:hAnsi="Wingdings" w:hint="default"/>
      </w:rPr>
    </w:lvl>
  </w:abstractNum>
  <w:abstractNum w:abstractNumId="7">
    <w:nsid w:val="16BF61A9"/>
    <w:multiLevelType w:val="hybridMultilevel"/>
    <w:tmpl w:val="34CA7130"/>
    <w:lvl w:ilvl="0" w:tplc="74B47E64">
      <w:start w:val="1"/>
      <w:numFmt w:val="bullet"/>
      <w:lvlText w:val=""/>
      <w:lvlJc w:val="left"/>
      <w:pPr>
        <w:ind w:left="720" w:hanging="360"/>
      </w:pPr>
      <w:rPr>
        <w:rFonts w:ascii="Symbol" w:hAnsi="Symbol"/>
      </w:rPr>
    </w:lvl>
    <w:lvl w:ilvl="1" w:tplc="3FD88FD0">
      <w:start w:val="1"/>
      <w:numFmt w:val="bullet"/>
      <w:lvlText w:val="o"/>
      <w:lvlJc w:val="left"/>
      <w:pPr>
        <w:ind w:left="1440" w:hanging="360"/>
      </w:pPr>
      <w:rPr>
        <w:rFonts w:ascii="Courier New" w:hAnsi="Courier New"/>
      </w:rPr>
    </w:lvl>
    <w:lvl w:ilvl="2" w:tplc="AA86798E">
      <w:start w:val="1"/>
      <w:numFmt w:val="bullet"/>
      <w:lvlText w:val=""/>
      <w:lvlJc w:val="left"/>
      <w:pPr>
        <w:ind w:left="2160" w:hanging="360"/>
      </w:pPr>
      <w:rPr>
        <w:rFonts w:ascii="Wingdings" w:hAnsi="Wingdings"/>
      </w:rPr>
    </w:lvl>
    <w:lvl w:ilvl="3" w:tplc="A0E60A4C">
      <w:start w:val="1"/>
      <w:numFmt w:val="bullet"/>
      <w:lvlText w:val=""/>
      <w:lvlJc w:val="left"/>
      <w:pPr>
        <w:ind w:left="2880" w:hanging="360"/>
      </w:pPr>
      <w:rPr>
        <w:rFonts w:ascii="Symbol" w:hAnsi="Symbol"/>
      </w:rPr>
    </w:lvl>
    <w:lvl w:ilvl="4" w:tplc="7DCA2D6A">
      <w:start w:val="1"/>
      <w:numFmt w:val="bullet"/>
      <w:lvlText w:val="o"/>
      <w:lvlJc w:val="left"/>
      <w:pPr>
        <w:ind w:left="3600" w:hanging="360"/>
      </w:pPr>
      <w:rPr>
        <w:rFonts w:ascii="Courier New" w:hAnsi="Courier New"/>
      </w:rPr>
    </w:lvl>
    <w:lvl w:ilvl="5" w:tplc="C83408C6">
      <w:start w:val="1"/>
      <w:numFmt w:val="bullet"/>
      <w:lvlText w:val=""/>
      <w:lvlJc w:val="left"/>
      <w:pPr>
        <w:ind w:left="4320" w:hanging="360"/>
      </w:pPr>
      <w:rPr>
        <w:rFonts w:ascii="Wingdings" w:hAnsi="Wingdings"/>
      </w:rPr>
    </w:lvl>
    <w:lvl w:ilvl="6" w:tplc="0F28E93C">
      <w:start w:val="1"/>
      <w:numFmt w:val="bullet"/>
      <w:lvlText w:val=""/>
      <w:lvlJc w:val="left"/>
      <w:pPr>
        <w:ind w:left="5040" w:hanging="360"/>
      </w:pPr>
      <w:rPr>
        <w:rFonts w:ascii="Symbol" w:hAnsi="Symbol"/>
      </w:rPr>
    </w:lvl>
    <w:lvl w:ilvl="7" w:tplc="57E687CE">
      <w:start w:val="1"/>
      <w:numFmt w:val="bullet"/>
      <w:lvlText w:val="o"/>
      <w:lvlJc w:val="left"/>
      <w:pPr>
        <w:ind w:left="5760" w:hanging="360"/>
      </w:pPr>
      <w:rPr>
        <w:rFonts w:ascii="Courier New" w:hAnsi="Courier New"/>
      </w:rPr>
    </w:lvl>
    <w:lvl w:ilvl="8" w:tplc="82B2769A">
      <w:start w:val="1"/>
      <w:numFmt w:val="bullet"/>
      <w:lvlText w:val=""/>
      <w:lvlJc w:val="left"/>
      <w:pPr>
        <w:ind w:left="6480" w:hanging="360"/>
      </w:pPr>
      <w:rPr>
        <w:rFonts w:ascii="Wingdings" w:hAnsi="Wingdings"/>
      </w:rPr>
    </w:lvl>
  </w:abstractNum>
  <w:abstractNum w:abstractNumId="8">
    <w:nsid w:val="192F656E"/>
    <w:multiLevelType w:val="hybridMultilevel"/>
    <w:tmpl w:val="76308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06BFA"/>
    <w:multiLevelType w:val="hybridMultilevel"/>
    <w:tmpl w:val="4C0236DE"/>
    <w:lvl w:ilvl="0" w:tplc="630C1C94">
      <w:numFmt w:val="bullet"/>
      <w:lvlText w:val="-"/>
      <w:lvlJc w:val="left"/>
      <w:pPr>
        <w:ind w:left="720" w:hanging="360"/>
      </w:pPr>
      <w:rPr>
        <w:rFonts w:ascii="Calibri" w:eastAsiaTheme="minorHAnsi" w:hAnsi="Calibri" w:cs="Calibri"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E09E8"/>
    <w:multiLevelType w:val="hybridMultilevel"/>
    <w:tmpl w:val="07AA4218"/>
    <w:lvl w:ilvl="0" w:tplc="101A000F">
      <w:start w:val="1"/>
      <w:numFmt w:val="decimal"/>
      <w:lvlText w:val="%1."/>
      <w:lvlJc w:val="left"/>
      <w:pPr>
        <w:ind w:left="928"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1">
    <w:nsid w:val="27093E50"/>
    <w:multiLevelType w:val="multilevel"/>
    <w:tmpl w:val="A96ADC54"/>
    <w:styleLink w:val="WWOutlineListStyle"/>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12">
    <w:nsid w:val="391F0A19"/>
    <w:multiLevelType w:val="hybridMultilevel"/>
    <w:tmpl w:val="8E388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33522"/>
    <w:multiLevelType w:val="multilevel"/>
    <w:tmpl w:val="DB20140E"/>
    <w:lvl w:ilvl="0">
      <w:start w:val="6"/>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4">
    <w:nsid w:val="3A2F6FE0"/>
    <w:multiLevelType w:val="multilevel"/>
    <w:tmpl w:val="8B6401B0"/>
    <w:lvl w:ilvl="0">
      <w:start w:val="1"/>
      <w:numFmt w:val="decimal"/>
      <w:lvlText w:val="%1."/>
      <w:lvlJc w:val="left"/>
      <w:pPr>
        <w:ind w:left="504" w:hanging="504"/>
      </w:pPr>
      <w:rPr>
        <w:rFonts w:hint="default"/>
      </w:rPr>
    </w:lvl>
    <w:lvl w:ilvl="1">
      <w:start w:val="5"/>
      <w:numFmt w:val="decimal"/>
      <w:lvlText w:val="%1.%2."/>
      <w:lvlJc w:val="left"/>
      <w:pPr>
        <w:ind w:left="1728" w:hanging="504"/>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5">
    <w:nsid w:val="3E231119"/>
    <w:multiLevelType w:val="multilevel"/>
    <w:tmpl w:val="041A0025"/>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1"/>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
    <w:nsid w:val="5C8362EE"/>
    <w:multiLevelType w:val="hybridMultilevel"/>
    <w:tmpl w:val="090C52A0"/>
    <w:lvl w:ilvl="0" w:tplc="C0DC7190">
      <w:start w:val="2"/>
      <w:numFmt w:val="bullet"/>
      <w:lvlText w:val="-"/>
      <w:lvlJc w:val="left"/>
      <w:pPr>
        <w:ind w:left="720" w:hanging="360"/>
      </w:pPr>
      <w:rPr>
        <w:rFonts w:ascii="Times New Roman" w:eastAsia="Calibri"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7">
    <w:nsid w:val="5E330744"/>
    <w:multiLevelType w:val="hybridMultilevel"/>
    <w:tmpl w:val="75829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0D5770"/>
    <w:multiLevelType w:val="hybridMultilevel"/>
    <w:tmpl w:val="889C413E"/>
    <w:lvl w:ilvl="0" w:tplc="F8DE184A">
      <w:start w:val="1"/>
      <w:numFmt w:val="bullet"/>
      <w:lvlText w:val=""/>
      <w:lvlJc w:val="left"/>
      <w:pPr>
        <w:ind w:left="720" w:hanging="360"/>
      </w:pPr>
      <w:rPr>
        <w:rFonts w:ascii="Symbol" w:hAnsi="Symbol"/>
      </w:rPr>
    </w:lvl>
    <w:lvl w:ilvl="1" w:tplc="12800176">
      <w:start w:val="1"/>
      <w:numFmt w:val="bullet"/>
      <w:lvlText w:val="o"/>
      <w:lvlJc w:val="left"/>
      <w:pPr>
        <w:ind w:left="1440" w:hanging="360"/>
      </w:pPr>
      <w:rPr>
        <w:rFonts w:ascii="Courier New" w:hAnsi="Courier New"/>
      </w:rPr>
    </w:lvl>
    <w:lvl w:ilvl="2" w:tplc="78F25AC6">
      <w:start w:val="1"/>
      <w:numFmt w:val="bullet"/>
      <w:lvlText w:val=""/>
      <w:lvlJc w:val="left"/>
      <w:pPr>
        <w:ind w:left="2160" w:hanging="360"/>
      </w:pPr>
      <w:rPr>
        <w:rFonts w:ascii="Wingdings" w:hAnsi="Wingdings"/>
      </w:rPr>
    </w:lvl>
    <w:lvl w:ilvl="3" w:tplc="B27CF3F6">
      <w:start w:val="1"/>
      <w:numFmt w:val="bullet"/>
      <w:lvlText w:val=""/>
      <w:lvlJc w:val="left"/>
      <w:pPr>
        <w:ind w:left="2880" w:hanging="360"/>
      </w:pPr>
      <w:rPr>
        <w:rFonts w:ascii="Symbol" w:hAnsi="Symbol"/>
      </w:rPr>
    </w:lvl>
    <w:lvl w:ilvl="4" w:tplc="DD4AFAC8">
      <w:start w:val="1"/>
      <w:numFmt w:val="bullet"/>
      <w:lvlText w:val="o"/>
      <w:lvlJc w:val="left"/>
      <w:pPr>
        <w:ind w:left="3600" w:hanging="360"/>
      </w:pPr>
      <w:rPr>
        <w:rFonts w:ascii="Courier New" w:hAnsi="Courier New"/>
      </w:rPr>
    </w:lvl>
    <w:lvl w:ilvl="5" w:tplc="5B3A58DC">
      <w:start w:val="1"/>
      <w:numFmt w:val="bullet"/>
      <w:lvlText w:val=""/>
      <w:lvlJc w:val="left"/>
      <w:pPr>
        <w:ind w:left="4320" w:hanging="360"/>
      </w:pPr>
      <w:rPr>
        <w:rFonts w:ascii="Wingdings" w:hAnsi="Wingdings"/>
      </w:rPr>
    </w:lvl>
    <w:lvl w:ilvl="6" w:tplc="42343128">
      <w:start w:val="1"/>
      <w:numFmt w:val="bullet"/>
      <w:lvlText w:val=""/>
      <w:lvlJc w:val="left"/>
      <w:pPr>
        <w:ind w:left="5040" w:hanging="360"/>
      </w:pPr>
      <w:rPr>
        <w:rFonts w:ascii="Symbol" w:hAnsi="Symbol"/>
      </w:rPr>
    </w:lvl>
    <w:lvl w:ilvl="7" w:tplc="432A29EA">
      <w:start w:val="1"/>
      <w:numFmt w:val="bullet"/>
      <w:lvlText w:val="o"/>
      <w:lvlJc w:val="left"/>
      <w:pPr>
        <w:ind w:left="5760" w:hanging="360"/>
      </w:pPr>
      <w:rPr>
        <w:rFonts w:ascii="Courier New" w:hAnsi="Courier New"/>
      </w:rPr>
    </w:lvl>
    <w:lvl w:ilvl="8" w:tplc="792AD382">
      <w:start w:val="1"/>
      <w:numFmt w:val="bullet"/>
      <w:lvlText w:val=""/>
      <w:lvlJc w:val="left"/>
      <w:pPr>
        <w:ind w:left="6480" w:hanging="360"/>
      </w:pPr>
      <w:rPr>
        <w:rFonts w:ascii="Wingdings" w:hAnsi="Wingdings"/>
      </w:rPr>
    </w:lvl>
  </w:abstractNum>
  <w:abstractNum w:abstractNumId="19">
    <w:nsid w:val="62256FB8"/>
    <w:multiLevelType w:val="hybridMultilevel"/>
    <w:tmpl w:val="64404AD6"/>
    <w:lvl w:ilvl="0" w:tplc="2F60E694">
      <w:start w:val="1"/>
      <w:numFmt w:val="bullet"/>
      <w:lvlText w:val=""/>
      <w:lvlJc w:val="left"/>
      <w:pPr>
        <w:ind w:left="780" w:hanging="360"/>
      </w:pPr>
      <w:rPr>
        <w:rFonts w:ascii="Symbol" w:hAnsi="Symbol"/>
      </w:rPr>
    </w:lvl>
    <w:lvl w:ilvl="1" w:tplc="4142E7DE">
      <w:start w:val="1"/>
      <w:numFmt w:val="bullet"/>
      <w:lvlText w:val="o"/>
      <w:lvlJc w:val="left"/>
      <w:pPr>
        <w:ind w:left="1500" w:hanging="360"/>
      </w:pPr>
      <w:rPr>
        <w:rFonts w:ascii="Courier New" w:hAnsi="Courier New"/>
      </w:rPr>
    </w:lvl>
    <w:lvl w:ilvl="2" w:tplc="B854EAC2">
      <w:start w:val="1"/>
      <w:numFmt w:val="bullet"/>
      <w:lvlText w:val=""/>
      <w:lvlJc w:val="left"/>
      <w:pPr>
        <w:ind w:left="2220" w:hanging="360"/>
      </w:pPr>
      <w:rPr>
        <w:rFonts w:ascii="Wingdings" w:hAnsi="Wingdings"/>
      </w:rPr>
    </w:lvl>
    <w:lvl w:ilvl="3" w:tplc="DB92E882">
      <w:start w:val="1"/>
      <w:numFmt w:val="bullet"/>
      <w:lvlText w:val=""/>
      <w:lvlJc w:val="left"/>
      <w:pPr>
        <w:ind w:left="2940" w:hanging="360"/>
      </w:pPr>
      <w:rPr>
        <w:rFonts w:ascii="Symbol" w:hAnsi="Symbol"/>
      </w:rPr>
    </w:lvl>
    <w:lvl w:ilvl="4" w:tplc="6C462504">
      <w:start w:val="1"/>
      <w:numFmt w:val="bullet"/>
      <w:lvlText w:val="o"/>
      <w:lvlJc w:val="left"/>
      <w:pPr>
        <w:ind w:left="3660" w:hanging="360"/>
      </w:pPr>
      <w:rPr>
        <w:rFonts w:ascii="Courier New" w:hAnsi="Courier New"/>
      </w:rPr>
    </w:lvl>
    <w:lvl w:ilvl="5" w:tplc="5AB42384">
      <w:start w:val="1"/>
      <w:numFmt w:val="bullet"/>
      <w:lvlText w:val=""/>
      <w:lvlJc w:val="left"/>
      <w:pPr>
        <w:ind w:left="4380" w:hanging="360"/>
      </w:pPr>
      <w:rPr>
        <w:rFonts w:ascii="Wingdings" w:hAnsi="Wingdings"/>
      </w:rPr>
    </w:lvl>
    <w:lvl w:ilvl="6" w:tplc="F5F8D580">
      <w:start w:val="1"/>
      <w:numFmt w:val="bullet"/>
      <w:lvlText w:val=""/>
      <w:lvlJc w:val="left"/>
      <w:pPr>
        <w:ind w:left="5100" w:hanging="360"/>
      </w:pPr>
      <w:rPr>
        <w:rFonts w:ascii="Symbol" w:hAnsi="Symbol"/>
      </w:rPr>
    </w:lvl>
    <w:lvl w:ilvl="7" w:tplc="182EEEAC">
      <w:start w:val="1"/>
      <w:numFmt w:val="bullet"/>
      <w:lvlText w:val="o"/>
      <w:lvlJc w:val="left"/>
      <w:pPr>
        <w:ind w:left="5820" w:hanging="360"/>
      </w:pPr>
      <w:rPr>
        <w:rFonts w:ascii="Courier New" w:hAnsi="Courier New"/>
      </w:rPr>
    </w:lvl>
    <w:lvl w:ilvl="8" w:tplc="CFD6DA06">
      <w:start w:val="1"/>
      <w:numFmt w:val="bullet"/>
      <w:lvlText w:val=""/>
      <w:lvlJc w:val="left"/>
      <w:pPr>
        <w:ind w:left="6540" w:hanging="360"/>
      </w:pPr>
      <w:rPr>
        <w:rFonts w:ascii="Wingdings" w:hAnsi="Wingdings"/>
      </w:rPr>
    </w:lvl>
  </w:abstractNum>
  <w:abstractNum w:abstractNumId="20">
    <w:nsid w:val="736406D1"/>
    <w:multiLevelType w:val="hybridMultilevel"/>
    <w:tmpl w:val="1CBC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451E59"/>
    <w:multiLevelType w:val="hybridMultilevel"/>
    <w:tmpl w:val="CB54F4EC"/>
    <w:lvl w:ilvl="0" w:tplc="041A0003">
      <w:start w:val="1"/>
      <w:numFmt w:val="bullet"/>
      <w:lvlText w:val="o"/>
      <w:lvlJc w:val="left"/>
      <w:pPr>
        <w:tabs>
          <w:tab w:val="num" w:pos="720"/>
        </w:tabs>
        <w:ind w:left="720" w:hanging="360"/>
      </w:pPr>
      <w:rPr>
        <w:rFonts w:ascii="Courier New" w:hAnsi="Courier New" w:cs="Courier New" w:hint="default"/>
      </w:rPr>
    </w:lvl>
    <w:lvl w:ilvl="1" w:tplc="E3665090" w:tentative="1">
      <w:start w:val="1"/>
      <w:numFmt w:val="bullet"/>
      <w:lvlText w:val=""/>
      <w:lvlJc w:val="left"/>
      <w:pPr>
        <w:tabs>
          <w:tab w:val="num" w:pos="1440"/>
        </w:tabs>
        <w:ind w:left="1440" w:hanging="360"/>
      </w:pPr>
      <w:rPr>
        <w:rFonts w:ascii="Wingdings" w:hAnsi="Wingdings" w:hint="default"/>
      </w:rPr>
    </w:lvl>
    <w:lvl w:ilvl="2" w:tplc="2D6600B4" w:tentative="1">
      <w:start w:val="1"/>
      <w:numFmt w:val="bullet"/>
      <w:lvlText w:val=""/>
      <w:lvlJc w:val="left"/>
      <w:pPr>
        <w:tabs>
          <w:tab w:val="num" w:pos="2160"/>
        </w:tabs>
        <w:ind w:left="2160" w:hanging="360"/>
      </w:pPr>
      <w:rPr>
        <w:rFonts w:ascii="Wingdings" w:hAnsi="Wingdings" w:hint="default"/>
      </w:rPr>
    </w:lvl>
    <w:lvl w:ilvl="3" w:tplc="638A0D34" w:tentative="1">
      <w:start w:val="1"/>
      <w:numFmt w:val="bullet"/>
      <w:lvlText w:val=""/>
      <w:lvlJc w:val="left"/>
      <w:pPr>
        <w:tabs>
          <w:tab w:val="num" w:pos="2880"/>
        </w:tabs>
        <w:ind w:left="2880" w:hanging="360"/>
      </w:pPr>
      <w:rPr>
        <w:rFonts w:ascii="Wingdings" w:hAnsi="Wingdings" w:hint="default"/>
      </w:rPr>
    </w:lvl>
    <w:lvl w:ilvl="4" w:tplc="C61C940E" w:tentative="1">
      <w:start w:val="1"/>
      <w:numFmt w:val="bullet"/>
      <w:lvlText w:val=""/>
      <w:lvlJc w:val="left"/>
      <w:pPr>
        <w:tabs>
          <w:tab w:val="num" w:pos="3600"/>
        </w:tabs>
        <w:ind w:left="3600" w:hanging="360"/>
      </w:pPr>
      <w:rPr>
        <w:rFonts w:ascii="Wingdings" w:hAnsi="Wingdings" w:hint="default"/>
      </w:rPr>
    </w:lvl>
    <w:lvl w:ilvl="5" w:tplc="6F92B5FC" w:tentative="1">
      <w:start w:val="1"/>
      <w:numFmt w:val="bullet"/>
      <w:lvlText w:val=""/>
      <w:lvlJc w:val="left"/>
      <w:pPr>
        <w:tabs>
          <w:tab w:val="num" w:pos="4320"/>
        </w:tabs>
        <w:ind w:left="4320" w:hanging="360"/>
      </w:pPr>
      <w:rPr>
        <w:rFonts w:ascii="Wingdings" w:hAnsi="Wingdings" w:hint="default"/>
      </w:rPr>
    </w:lvl>
    <w:lvl w:ilvl="6" w:tplc="F51A9FC0" w:tentative="1">
      <w:start w:val="1"/>
      <w:numFmt w:val="bullet"/>
      <w:lvlText w:val=""/>
      <w:lvlJc w:val="left"/>
      <w:pPr>
        <w:tabs>
          <w:tab w:val="num" w:pos="5040"/>
        </w:tabs>
        <w:ind w:left="5040" w:hanging="360"/>
      </w:pPr>
      <w:rPr>
        <w:rFonts w:ascii="Wingdings" w:hAnsi="Wingdings" w:hint="default"/>
      </w:rPr>
    </w:lvl>
    <w:lvl w:ilvl="7" w:tplc="1FDA32F4" w:tentative="1">
      <w:start w:val="1"/>
      <w:numFmt w:val="bullet"/>
      <w:lvlText w:val=""/>
      <w:lvlJc w:val="left"/>
      <w:pPr>
        <w:tabs>
          <w:tab w:val="num" w:pos="5760"/>
        </w:tabs>
        <w:ind w:left="5760" w:hanging="360"/>
      </w:pPr>
      <w:rPr>
        <w:rFonts w:ascii="Wingdings" w:hAnsi="Wingdings" w:hint="default"/>
      </w:rPr>
    </w:lvl>
    <w:lvl w:ilvl="8" w:tplc="09B25E2C"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13"/>
  </w:num>
  <w:num w:numId="4">
    <w:abstractNumId w:val="4"/>
  </w:num>
  <w:num w:numId="5">
    <w:abstractNumId w:val="9"/>
  </w:num>
  <w:num w:numId="6">
    <w:abstractNumId w:val="6"/>
  </w:num>
  <w:num w:numId="7">
    <w:abstractNumId w:val="16"/>
  </w:num>
  <w:num w:numId="8">
    <w:abstractNumId w:val="7"/>
  </w:num>
  <w:num w:numId="9">
    <w:abstractNumId w:val="18"/>
  </w:num>
  <w:num w:numId="10">
    <w:abstractNumId w:val="19"/>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0"/>
  </w:num>
  <w:num w:numId="15">
    <w:abstractNumId w:val="12"/>
  </w:num>
  <w:num w:numId="16">
    <w:abstractNumId w:val="2"/>
  </w:num>
  <w:num w:numId="17">
    <w:abstractNumId w:val="17"/>
  </w:num>
  <w:num w:numId="18">
    <w:abstractNumId w:val="8"/>
  </w:num>
  <w:num w:numId="19">
    <w:abstractNumId w:val="1"/>
  </w:num>
  <w:num w:numId="20">
    <w:abstractNumId w:val="3"/>
  </w:num>
  <w:num w:numId="21">
    <w:abstractNumId w:val="10"/>
  </w:num>
  <w:num w:numId="22">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C69B9"/>
    <w:rsid w:val="0045437A"/>
    <w:rsid w:val="006C69B9"/>
    <w:rsid w:val="00701334"/>
    <w:rsid w:val="009F107E"/>
    <w:rsid w:val="00F8590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07E"/>
  </w:style>
  <w:style w:type="paragraph" w:styleId="Naslov1">
    <w:name w:val="heading 1"/>
    <w:basedOn w:val="Normal"/>
    <w:next w:val="Normal"/>
    <w:link w:val="Naslov1Char"/>
    <w:uiPriority w:val="9"/>
    <w:qFormat/>
    <w:rsid w:val="006C69B9"/>
    <w:pPr>
      <w:keepNext/>
      <w:numPr>
        <w:numId w:val="1"/>
      </w:numPr>
      <w:spacing w:before="240" w:after="60" w:line="240" w:lineRule="auto"/>
      <w:outlineLvl w:val="0"/>
    </w:pPr>
    <w:rPr>
      <w:rFonts w:ascii="Calibri" w:eastAsia="Calibri" w:hAnsi="Calibri" w:cs="Times New Roman"/>
      <w:b/>
      <w:bCs/>
      <w:color w:val="2A7286"/>
      <w:kern w:val="32"/>
      <w:sz w:val="28"/>
      <w:szCs w:val="32"/>
      <w:lang w:eastAsia="hr-HR"/>
    </w:rPr>
  </w:style>
  <w:style w:type="paragraph" w:styleId="Naslov2">
    <w:name w:val="heading 2"/>
    <w:basedOn w:val="Normal"/>
    <w:next w:val="Normal"/>
    <w:link w:val="Naslov2Char"/>
    <w:uiPriority w:val="9"/>
    <w:semiHidden/>
    <w:unhideWhenUsed/>
    <w:qFormat/>
    <w:rsid w:val="006C69B9"/>
    <w:pPr>
      <w:keepNext/>
      <w:keepLines/>
      <w:spacing w:before="40" w:after="0"/>
      <w:outlineLvl w:val="1"/>
    </w:pPr>
    <w:rPr>
      <w:rFonts w:ascii="Calibri" w:eastAsia="Calibri" w:hAnsi="Calibri" w:cs="Times New Roman"/>
      <w:b/>
      <w:bCs/>
      <w:iCs/>
      <w:color w:val="31849B"/>
      <w:sz w:val="24"/>
      <w:szCs w:val="28"/>
      <w:lang w:eastAsia="hr-HR"/>
    </w:rPr>
  </w:style>
  <w:style w:type="paragraph" w:styleId="Naslov3">
    <w:name w:val="heading 3"/>
    <w:basedOn w:val="Normal"/>
    <w:next w:val="Normal"/>
    <w:link w:val="Naslov3Char"/>
    <w:uiPriority w:val="9"/>
    <w:semiHidden/>
    <w:unhideWhenUsed/>
    <w:qFormat/>
    <w:rsid w:val="006C69B9"/>
    <w:pPr>
      <w:keepNext/>
      <w:keepLines/>
      <w:spacing w:before="40" w:after="0"/>
      <w:outlineLvl w:val="2"/>
    </w:pPr>
    <w:rPr>
      <w:rFonts w:ascii="Calibri" w:eastAsia="Calibri" w:hAnsi="Calibri" w:cs="Times New Roman"/>
      <w:b/>
      <w:bCs/>
      <w:color w:val="4BACC6"/>
      <w:szCs w:val="26"/>
      <w:lang w:val="bs-Latn-BA" w:eastAsia="hr-HR"/>
    </w:rPr>
  </w:style>
  <w:style w:type="paragraph" w:styleId="Naslov4">
    <w:name w:val="heading 4"/>
    <w:basedOn w:val="Normal"/>
    <w:next w:val="Normal"/>
    <w:link w:val="Naslov4Char"/>
    <w:uiPriority w:val="9"/>
    <w:semiHidden/>
    <w:unhideWhenUsed/>
    <w:qFormat/>
    <w:rsid w:val="006C69B9"/>
    <w:pPr>
      <w:keepNext/>
      <w:keepLines/>
      <w:spacing w:before="40" w:after="0"/>
      <w:outlineLvl w:val="3"/>
    </w:pPr>
    <w:rPr>
      <w:rFonts w:ascii="Calibri" w:eastAsia="Calibri" w:hAnsi="Calibri" w:cs="Times New Roman"/>
      <w:bCs/>
      <w:i/>
      <w:iCs/>
      <w:color w:val="31849B"/>
      <w:szCs w:val="24"/>
      <w:lang w:eastAsia="hr-HR"/>
    </w:rPr>
  </w:style>
  <w:style w:type="paragraph" w:styleId="Naslov5">
    <w:name w:val="heading 5"/>
    <w:basedOn w:val="Normal"/>
    <w:next w:val="Normal"/>
    <w:link w:val="Naslov5Char"/>
    <w:uiPriority w:val="9"/>
    <w:qFormat/>
    <w:rsid w:val="006C69B9"/>
    <w:pPr>
      <w:keepNext/>
      <w:keepLines/>
      <w:numPr>
        <w:ilvl w:val="4"/>
        <w:numId w:val="1"/>
      </w:numPr>
      <w:spacing w:before="200" w:after="0" w:line="240" w:lineRule="auto"/>
      <w:outlineLvl w:val="4"/>
    </w:pPr>
    <w:rPr>
      <w:rFonts w:ascii="Calibri Light" w:eastAsia="Calibri" w:hAnsi="Calibri Light" w:cs="Times New Roman"/>
      <w:color w:val="1F4D78"/>
      <w:sz w:val="24"/>
      <w:szCs w:val="24"/>
      <w:lang w:eastAsia="hr-HR"/>
    </w:rPr>
  </w:style>
  <w:style w:type="paragraph" w:styleId="Naslov6">
    <w:name w:val="heading 6"/>
    <w:basedOn w:val="Normal"/>
    <w:next w:val="Normal"/>
    <w:link w:val="Naslov6Char"/>
    <w:uiPriority w:val="9"/>
    <w:qFormat/>
    <w:rsid w:val="006C69B9"/>
    <w:pPr>
      <w:keepNext/>
      <w:keepLines/>
      <w:numPr>
        <w:ilvl w:val="5"/>
        <w:numId w:val="1"/>
      </w:numPr>
      <w:spacing w:before="200" w:after="0" w:line="240" w:lineRule="auto"/>
      <w:outlineLvl w:val="5"/>
    </w:pPr>
    <w:rPr>
      <w:rFonts w:ascii="Calibri Light" w:eastAsia="Calibri" w:hAnsi="Calibri Light" w:cs="Times New Roman"/>
      <w:i/>
      <w:iCs/>
      <w:color w:val="1F4D78"/>
      <w:sz w:val="24"/>
      <w:szCs w:val="24"/>
      <w:lang w:eastAsia="hr-HR"/>
    </w:rPr>
  </w:style>
  <w:style w:type="paragraph" w:styleId="Naslov7">
    <w:name w:val="heading 7"/>
    <w:basedOn w:val="Normal"/>
    <w:next w:val="Normal"/>
    <w:link w:val="Naslov7Char"/>
    <w:uiPriority w:val="9"/>
    <w:qFormat/>
    <w:rsid w:val="006C69B9"/>
    <w:pPr>
      <w:keepNext/>
      <w:keepLines/>
      <w:numPr>
        <w:ilvl w:val="6"/>
        <w:numId w:val="1"/>
      </w:numPr>
      <w:spacing w:before="200" w:after="0" w:line="240" w:lineRule="auto"/>
      <w:outlineLvl w:val="6"/>
    </w:pPr>
    <w:rPr>
      <w:rFonts w:ascii="Calibri Light" w:eastAsia="Calibri" w:hAnsi="Calibri Light" w:cs="Times New Roman"/>
      <w:i/>
      <w:iCs/>
      <w:color w:val="404040"/>
      <w:sz w:val="24"/>
      <w:szCs w:val="24"/>
      <w:lang w:eastAsia="hr-HR"/>
    </w:rPr>
  </w:style>
  <w:style w:type="paragraph" w:styleId="Naslov8">
    <w:name w:val="heading 8"/>
    <w:basedOn w:val="Normal"/>
    <w:next w:val="Normal"/>
    <w:link w:val="Naslov8Char"/>
    <w:uiPriority w:val="9"/>
    <w:qFormat/>
    <w:rsid w:val="006C69B9"/>
    <w:pPr>
      <w:keepNext/>
      <w:keepLines/>
      <w:numPr>
        <w:ilvl w:val="7"/>
        <w:numId w:val="1"/>
      </w:numPr>
      <w:spacing w:before="200" w:after="0" w:line="240" w:lineRule="auto"/>
      <w:outlineLvl w:val="7"/>
    </w:pPr>
    <w:rPr>
      <w:rFonts w:ascii="Calibri Light" w:eastAsia="Calibri" w:hAnsi="Calibri Light" w:cs="Times New Roman"/>
      <w:color w:val="404040"/>
      <w:sz w:val="20"/>
      <w:szCs w:val="20"/>
      <w:lang w:eastAsia="hr-HR"/>
    </w:rPr>
  </w:style>
  <w:style w:type="paragraph" w:styleId="Naslov9">
    <w:name w:val="heading 9"/>
    <w:basedOn w:val="Normal"/>
    <w:next w:val="Normal"/>
    <w:link w:val="Naslov9Char"/>
    <w:uiPriority w:val="9"/>
    <w:qFormat/>
    <w:rsid w:val="006C69B9"/>
    <w:pPr>
      <w:keepNext/>
      <w:keepLines/>
      <w:numPr>
        <w:ilvl w:val="8"/>
        <w:numId w:val="1"/>
      </w:numPr>
      <w:spacing w:before="200" w:after="0" w:line="240" w:lineRule="auto"/>
      <w:outlineLvl w:val="8"/>
    </w:pPr>
    <w:rPr>
      <w:rFonts w:ascii="Calibri Light" w:eastAsia="Calibri" w:hAnsi="Calibri Light" w:cs="Times New Roman"/>
      <w:i/>
      <w:iCs/>
      <w:color w:val="404040"/>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C69B9"/>
    <w:rPr>
      <w:rFonts w:ascii="Calibri" w:eastAsia="Calibri" w:hAnsi="Calibri" w:cs="Times New Roman"/>
      <w:b/>
      <w:bCs/>
      <w:color w:val="2A7286"/>
      <w:kern w:val="32"/>
      <w:sz w:val="28"/>
      <w:szCs w:val="32"/>
      <w:lang w:eastAsia="hr-HR"/>
    </w:rPr>
  </w:style>
  <w:style w:type="paragraph" w:customStyle="1" w:styleId="Heading21">
    <w:name w:val="Heading 21"/>
    <w:basedOn w:val="Normal"/>
    <w:next w:val="Normal"/>
    <w:autoRedefine/>
    <w:uiPriority w:val="9"/>
    <w:qFormat/>
    <w:rsid w:val="006C69B9"/>
    <w:pPr>
      <w:keepNext/>
      <w:spacing w:before="240" w:after="60" w:line="240" w:lineRule="auto"/>
      <w:ind w:left="567"/>
      <w:outlineLvl w:val="1"/>
    </w:pPr>
    <w:rPr>
      <w:rFonts w:ascii="Calibri" w:eastAsia="Calibri" w:hAnsi="Calibri" w:cs="Times New Roman"/>
      <w:b/>
      <w:bCs/>
      <w:iCs/>
      <w:color w:val="31849B"/>
      <w:sz w:val="24"/>
      <w:szCs w:val="28"/>
      <w:lang w:eastAsia="hr-HR"/>
    </w:rPr>
  </w:style>
  <w:style w:type="paragraph" w:customStyle="1" w:styleId="Heading31">
    <w:name w:val="Heading 31"/>
    <w:basedOn w:val="Normal"/>
    <w:next w:val="Normal"/>
    <w:autoRedefine/>
    <w:uiPriority w:val="9"/>
    <w:qFormat/>
    <w:rsid w:val="006C69B9"/>
    <w:pPr>
      <w:keepNext/>
      <w:spacing w:before="240" w:after="60" w:line="240" w:lineRule="auto"/>
      <w:outlineLvl w:val="2"/>
    </w:pPr>
    <w:rPr>
      <w:rFonts w:ascii="Calibri" w:eastAsia="Calibri" w:hAnsi="Calibri" w:cs="Times New Roman"/>
      <w:b/>
      <w:bCs/>
      <w:color w:val="4BACC6"/>
      <w:szCs w:val="26"/>
      <w:lang w:val="bs-Latn-BA" w:eastAsia="hr-HR"/>
    </w:rPr>
  </w:style>
  <w:style w:type="paragraph" w:customStyle="1" w:styleId="Heading41">
    <w:name w:val="Heading 41"/>
    <w:basedOn w:val="Normal"/>
    <w:next w:val="Normal"/>
    <w:uiPriority w:val="9"/>
    <w:qFormat/>
    <w:rsid w:val="006C69B9"/>
    <w:pPr>
      <w:keepNext/>
      <w:keepLines/>
      <w:numPr>
        <w:ilvl w:val="3"/>
        <w:numId w:val="1"/>
      </w:numPr>
      <w:spacing w:before="200" w:after="0" w:line="240" w:lineRule="auto"/>
      <w:ind w:left="1584"/>
      <w:outlineLvl w:val="3"/>
    </w:pPr>
    <w:rPr>
      <w:rFonts w:ascii="Calibri" w:eastAsia="Calibri" w:hAnsi="Calibri" w:cs="Times New Roman"/>
      <w:bCs/>
      <w:i/>
      <w:iCs/>
      <w:color w:val="31849B"/>
      <w:szCs w:val="24"/>
      <w:lang w:eastAsia="hr-HR"/>
    </w:rPr>
  </w:style>
  <w:style w:type="character" w:customStyle="1" w:styleId="Naslov5Char">
    <w:name w:val="Naslov 5 Char"/>
    <w:basedOn w:val="Zadanifontodlomka"/>
    <w:link w:val="Naslov5"/>
    <w:uiPriority w:val="9"/>
    <w:rsid w:val="006C69B9"/>
    <w:rPr>
      <w:rFonts w:ascii="Calibri Light" w:eastAsia="Calibri" w:hAnsi="Calibri Light" w:cs="Times New Roman"/>
      <w:color w:val="1F4D78"/>
      <w:sz w:val="24"/>
      <w:szCs w:val="24"/>
      <w:lang w:eastAsia="hr-HR"/>
    </w:rPr>
  </w:style>
  <w:style w:type="character" w:customStyle="1" w:styleId="Naslov6Char">
    <w:name w:val="Naslov 6 Char"/>
    <w:basedOn w:val="Zadanifontodlomka"/>
    <w:link w:val="Naslov6"/>
    <w:uiPriority w:val="9"/>
    <w:rsid w:val="006C69B9"/>
    <w:rPr>
      <w:rFonts w:ascii="Calibri Light" w:eastAsia="Calibri" w:hAnsi="Calibri Light" w:cs="Times New Roman"/>
      <w:i/>
      <w:iCs/>
      <w:color w:val="1F4D78"/>
      <w:sz w:val="24"/>
      <w:szCs w:val="24"/>
      <w:lang w:eastAsia="hr-HR"/>
    </w:rPr>
  </w:style>
  <w:style w:type="character" w:customStyle="1" w:styleId="Naslov7Char">
    <w:name w:val="Naslov 7 Char"/>
    <w:basedOn w:val="Zadanifontodlomka"/>
    <w:link w:val="Naslov7"/>
    <w:uiPriority w:val="9"/>
    <w:rsid w:val="006C69B9"/>
    <w:rPr>
      <w:rFonts w:ascii="Calibri Light" w:eastAsia="Calibri" w:hAnsi="Calibri Light" w:cs="Times New Roman"/>
      <w:i/>
      <w:iCs/>
      <w:color w:val="404040"/>
      <w:sz w:val="24"/>
      <w:szCs w:val="24"/>
      <w:lang w:eastAsia="hr-HR"/>
    </w:rPr>
  </w:style>
  <w:style w:type="character" w:customStyle="1" w:styleId="Naslov8Char">
    <w:name w:val="Naslov 8 Char"/>
    <w:basedOn w:val="Zadanifontodlomka"/>
    <w:link w:val="Naslov8"/>
    <w:uiPriority w:val="9"/>
    <w:rsid w:val="006C69B9"/>
    <w:rPr>
      <w:rFonts w:ascii="Calibri Light" w:eastAsia="Calibri" w:hAnsi="Calibri Light" w:cs="Times New Roman"/>
      <w:color w:val="404040"/>
      <w:sz w:val="20"/>
      <w:szCs w:val="20"/>
      <w:lang w:eastAsia="hr-HR"/>
    </w:rPr>
  </w:style>
  <w:style w:type="character" w:customStyle="1" w:styleId="Naslov9Char">
    <w:name w:val="Naslov 9 Char"/>
    <w:basedOn w:val="Zadanifontodlomka"/>
    <w:link w:val="Naslov9"/>
    <w:uiPriority w:val="9"/>
    <w:rsid w:val="006C69B9"/>
    <w:rPr>
      <w:rFonts w:ascii="Calibri Light" w:eastAsia="Calibri" w:hAnsi="Calibri Light" w:cs="Times New Roman"/>
      <w:i/>
      <w:iCs/>
      <w:color w:val="404040"/>
      <w:sz w:val="20"/>
      <w:szCs w:val="20"/>
      <w:lang w:eastAsia="hr-HR"/>
    </w:rPr>
  </w:style>
  <w:style w:type="numbering" w:customStyle="1" w:styleId="NoList1">
    <w:name w:val="No List1"/>
    <w:next w:val="Bezpopisa"/>
    <w:uiPriority w:val="99"/>
    <w:semiHidden/>
    <w:unhideWhenUsed/>
    <w:rsid w:val="006C69B9"/>
  </w:style>
  <w:style w:type="character" w:customStyle="1" w:styleId="Naslov2Char">
    <w:name w:val="Naslov 2 Char"/>
    <w:basedOn w:val="Zadanifontodlomka"/>
    <w:link w:val="Naslov2"/>
    <w:uiPriority w:val="9"/>
    <w:rsid w:val="006C69B9"/>
    <w:rPr>
      <w:rFonts w:ascii="Calibri" w:eastAsia="Calibri" w:hAnsi="Calibri" w:cs="Times New Roman"/>
      <w:b/>
      <w:bCs/>
      <w:iCs/>
      <w:color w:val="31849B"/>
      <w:sz w:val="24"/>
      <w:szCs w:val="28"/>
      <w:lang w:val="hr-HR" w:eastAsia="hr-HR"/>
    </w:rPr>
  </w:style>
  <w:style w:type="character" w:customStyle="1" w:styleId="Naslov3Char">
    <w:name w:val="Naslov 3 Char"/>
    <w:basedOn w:val="Zadanifontodlomka"/>
    <w:link w:val="Naslov3"/>
    <w:uiPriority w:val="9"/>
    <w:rsid w:val="006C69B9"/>
    <w:rPr>
      <w:rFonts w:ascii="Calibri" w:eastAsia="Calibri" w:hAnsi="Calibri" w:cs="Times New Roman"/>
      <w:b/>
      <w:bCs/>
      <w:color w:val="4BACC6"/>
      <w:szCs w:val="26"/>
      <w:lang w:val="bs-Latn-BA" w:eastAsia="hr-HR"/>
    </w:rPr>
  </w:style>
  <w:style w:type="character" w:customStyle="1" w:styleId="Naslov4Char">
    <w:name w:val="Naslov 4 Char"/>
    <w:basedOn w:val="Zadanifontodlomka"/>
    <w:link w:val="Naslov4"/>
    <w:uiPriority w:val="9"/>
    <w:rsid w:val="006C69B9"/>
    <w:rPr>
      <w:rFonts w:ascii="Calibri" w:eastAsia="Calibri" w:hAnsi="Calibri" w:cs="Times New Roman"/>
      <w:bCs/>
      <w:i/>
      <w:iCs/>
      <w:color w:val="31849B"/>
      <w:szCs w:val="24"/>
      <w:lang w:val="hr-HR" w:eastAsia="hr-HR"/>
    </w:rPr>
  </w:style>
  <w:style w:type="paragraph" w:customStyle="1" w:styleId="ColorfulList-Accent11">
    <w:name w:val="Colorful List - Accent 11"/>
    <w:basedOn w:val="Normal"/>
    <w:uiPriority w:val="99"/>
    <w:qFormat/>
    <w:rsid w:val="006C69B9"/>
    <w:pPr>
      <w:spacing w:after="0" w:line="240" w:lineRule="auto"/>
      <w:ind w:left="720"/>
      <w:contextualSpacing/>
    </w:pPr>
    <w:rPr>
      <w:rFonts w:ascii="Calibri" w:eastAsia="Calibri" w:hAnsi="Calibri" w:cs="Times New Roman"/>
      <w:lang w:val="sr-Latn-BA"/>
    </w:rPr>
  </w:style>
  <w:style w:type="paragraph" w:styleId="Tekstfusnote">
    <w:name w:val="footnote text"/>
    <w:aliases w:val="Podrozdział,Footnote Text Blue,Footnote Text1,Char,fn,FOOTNOTES,single space,ADB,Footnote Text Char Char Char,Footnote Text Char Char,ft,Tegn1,Tegn1 Char,Char Char Char,Footnote Text Char2 Char Char,Знак Знак Знак,Знак Знак Знак Зн,Geneva "/>
    <w:basedOn w:val="Normal"/>
    <w:link w:val="TekstfusnoteChar"/>
    <w:uiPriority w:val="99"/>
    <w:unhideWhenUsed/>
    <w:qFormat/>
    <w:rsid w:val="006C69B9"/>
    <w:pPr>
      <w:spacing w:after="200" w:line="276" w:lineRule="auto"/>
    </w:pPr>
    <w:rPr>
      <w:rFonts w:ascii="Calibri" w:eastAsia="Calibri" w:hAnsi="Calibri" w:cs="Times New Roman"/>
      <w:sz w:val="20"/>
      <w:szCs w:val="20"/>
    </w:rPr>
  </w:style>
  <w:style w:type="character" w:customStyle="1" w:styleId="TekstfusnoteChar">
    <w:name w:val="Tekst fusnote Char"/>
    <w:aliases w:val="Podrozdział Char,Footnote Text Blue Char,Footnote Text1 Char,Char Char,fn Char,FOOTNOTES Char,single space Char,ADB Char,Footnote Text Char Char Char Char,Footnote Text Char Char Char1,ft Char,Tegn1 Char1,Tegn1 Char Char,Geneva  Char"/>
    <w:basedOn w:val="Zadanifontodlomka"/>
    <w:link w:val="Tekstfusnote"/>
    <w:uiPriority w:val="99"/>
    <w:qFormat/>
    <w:rsid w:val="006C69B9"/>
    <w:rPr>
      <w:rFonts w:ascii="Calibri" w:eastAsia="Calibri" w:hAnsi="Calibri" w:cs="Times New Roman"/>
      <w:sz w:val="20"/>
      <w:szCs w:val="20"/>
    </w:rPr>
  </w:style>
  <w:style w:type="character" w:styleId="Referencafusnote">
    <w:name w:val="footnote reference"/>
    <w:aliases w:val="ftref,16 Point,Superscript 6 Point,Footnote symbol,Знак сноски-FN,Footnote Reference Superscript,Footnote Reference Number,Footnote Reference_LVL6,Footnote Reference_LVL61,Footnote Reference_LVL62,Footnote Reference_LVL63,Ref,BVI fnr"/>
    <w:link w:val="Char2"/>
    <w:uiPriority w:val="99"/>
    <w:unhideWhenUsed/>
    <w:qFormat/>
    <w:rsid w:val="006C69B9"/>
    <w:rPr>
      <w:vertAlign w:val="superscript"/>
    </w:rPr>
  </w:style>
  <w:style w:type="character" w:styleId="Referencakomentara">
    <w:name w:val="annotation reference"/>
    <w:uiPriority w:val="99"/>
    <w:semiHidden/>
    <w:unhideWhenUsed/>
    <w:rsid w:val="006C69B9"/>
    <w:rPr>
      <w:sz w:val="16"/>
      <w:szCs w:val="16"/>
    </w:rPr>
  </w:style>
  <w:style w:type="paragraph" w:styleId="Zaglavlje">
    <w:name w:val="header"/>
    <w:basedOn w:val="Normal"/>
    <w:link w:val="ZaglavljeChar"/>
    <w:uiPriority w:val="99"/>
    <w:unhideWhenUsed/>
    <w:rsid w:val="006C69B9"/>
    <w:pPr>
      <w:tabs>
        <w:tab w:val="center" w:pos="4536"/>
        <w:tab w:val="right" w:pos="9072"/>
      </w:tabs>
      <w:spacing w:after="0" w:line="240" w:lineRule="auto"/>
    </w:pPr>
    <w:rPr>
      <w:rFonts w:ascii="Calibri" w:eastAsia="Calibri" w:hAnsi="Calibri" w:cs="Times New Roman"/>
      <w:lang w:val="bs-Latn-BA"/>
    </w:rPr>
  </w:style>
  <w:style w:type="character" w:customStyle="1" w:styleId="ZaglavljeChar">
    <w:name w:val="Zaglavlje Char"/>
    <w:basedOn w:val="Zadanifontodlomka"/>
    <w:link w:val="Zaglavlje"/>
    <w:uiPriority w:val="99"/>
    <w:rsid w:val="006C69B9"/>
    <w:rPr>
      <w:rFonts w:ascii="Calibri" w:eastAsia="Calibri" w:hAnsi="Calibri" w:cs="Times New Roman"/>
      <w:lang w:val="bs-Latn-BA"/>
    </w:rPr>
  </w:style>
  <w:style w:type="paragraph" w:styleId="Podnoje">
    <w:name w:val="footer"/>
    <w:basedOn w:val="Normal"/>
    <w:link w:val="PodnojeChar"/>
    <w:uiPriority w:val="99"/>
    <w:unhideWhenUsed/>
    <w:rsid w:val="006C69B9"/>
    <w:pPr>
      <w:tabs>
        <w:tab w:val="center" w:pos="4536"/>
        <w:tab w:val="right" w:pos="9072"/>
      </w:tabs>
      <w:spacing w:after="0" w:line="240" w:lineRule="auto"/>
    </w:pPr>
    <w:rPr>
      <w:rFonts w:ascii="Calibri" w:eastAsia="Calibri" w:hAnsi="Calibri" w:cs="Times New Roman"/>
      <w:lang w:val="bs-Latn-BA"/>
    </w:rPr>
  </w:style>
  <w:style w:type="character" w:customStyle="1" w:styleId="PodnojeChar">
    <w:name w:val="Podnožje Char"/>
    <w:basedOn w:val="Zadanifontodlomka"/>
    <w:link w:val="Podnoje"/>
    <w:uiPriority w:val="99"/>
    <w:rsid w:val="006C69B9"/>
    <w:rPr>
      <w:rFonts w:ascii="Calibri" w:eastAsia="Calibri" w:hAnsi="Calibri" w:cs="Times New Roman"/>
      <w:lang w:val="bs-Latn-BA"/>
    </w:rPr>
  </w:style>
  <w:style w:type="paragraph" w:customStyle="1" w:styleId="Default">
    <w:name w:val="Default"/>
    <w:rsid w:val="006C69B9"/>
    <w:pPr>
      <w:autoSpaceDE w:val="0"/>
      <w:autoSpaceDN w:val="0"/>
      <w:adjustRightInd w:val="0"/>
      <w:spacing w:after="0" w:line="240" w:lineRule="auto"/>
    </w:pPr>
    <w:rPr>
      <w:rFonts w:ascii="Calibri" w:eastAsia="Times New Roman" w:hAnsi="Calibri" w:cs="Calibri"/>
      <w:color w:val="000000"/>
      <w:sz w:val="24"/>
      <w:szCs w:val="24"/>
      <w:lang w:val="en-US"/>
    </w:rPr>
  </w:style>
  <w:style w:type="table" w:customStyle="1" w:styleId="TableGrid1">
    <w:name w:val="Table Grid1"/>
    <w:basedOn w:val="Obinatablica"/>
    <w:uiPriority w:val="59"/>
    <w:rsid w:val="006C69B9"/>
    <w:pPr>
      <w:spacing w:after="0" w:line="240" w:lineRule="auto"/>
    </w:pPr>
    <w:rPr>
      <w:rFonts w:ascii="Calibri" w:eastAsia="Calibri" w:hAnsi="Calibri" w:cs="Times New Roman"/>
      <w:sz w:val="20"/>
      <w:szCs w:val="20"/>
      <w:lang w:val="en-US" w:eastAsia="zh-TW"/>
    </w:rPr>
    <w:tblPr>
      <w:tblInd w:w="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style>
  <w:style w:type="table" w:styleId="Reetkatablice">
    <w:name w:val="Table Grid"/>
    <w:basedOn w:val="Obinatablica"/>
    <w:uiPriority w:val="59"/>
    <w:rsid w:val="006C69B9"/>
    <w:pPr>
      <w:spacing w:after="0" w:line="240" w:lineRule="auto"/>
    </w:pPr>
    <w:rPr>
      <w:rFonts w:ascii="Calibri" w:eastAsia="Calibri" w:hAnsi="Calibri" w:cs="Times New Roman"/>
      <w:sz w:val="20"/>
      <w:szCs w:val="20"/>
      <w:lang w:val="en-US"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komentara">
    <w:name w:val="annotation text"/>
    <w:basedOn w:val="Normal"/>
    <w:link w:val="TekstkomentaraChar"/>
    <w:uiPriority w:val="99"/>
    <w:unhideWhenUsed/>
    <w:rsid w:val="006C69B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6C69B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6C69B9"/>
    <w:pPr>
      <w:spacing w:after="0" w:line="240" w:lineRule="auto"/>
    </w:pPr>
    <w:rPr>
      <w:rFonts w:ascii="Segoe UI" w:eastAsia="Calibri" w:hAnsi="Segoe UI" w:cs="Times New Roman"/>
      <w:sz w:val="18"/>
      <w:szCs w:val="18"/>
      <w:lang w:val="bs-Latn-BA"/>
    </w:rPr>
  </w:style>
  <w:style w:type="character" w:customStyle="1" w:styleId="TekstbaloniaChar">
    <w:name w:val="Tekst balončića Char"/>
    <w:basedOn w:val="Zadanifontodlomka"/>
    <w:link w:val="Tekstbalonia"/>
    <w:uiPriority w:val="99"/>
    <w:semiHidden/>
    <w:rsid w:val="006C69B9"/>
    <w:rPr>
      <w:rFonts w:ascii="Segoe UI" w:eastAsia="Calibri" w:hAnsi="Segoe UI" w:cs="Times New Roman"/>
      <w:sz w:val="18"/>
      <w:szCs w:val="18"/>
      <w:lang w:val="bs-Latn-BA"/>
    </w:rPr>
  </w:style>
  <w:style w:type="paragraph" w:customStyle="1" w:styleId="Odlomakpopisa1">
    <w:name w:val="Odlomak popisa1"/>
    <w:basedOn w:val="Normal"/>
    <w:uiPriority w:val="34"/>
    <w:qFormat/>
    <w:rsid w:val="006C69B9"/>
    <w:pPr>
      <w:spacing w:before="120" w:after="120"/>
      <w:jc w:val="both"/>
    </w:pPr>
    <w:rPr>
      <w:rFonts w:ascii="Calibri" w:eastAsia="Calibri" w:hAnsi="Calibri" w:cs="Times New Roman"/>
      <w:lang w:val="bs-Latn-BA"/>
    </w:rPr>
  </w:style>
  <w:style w:type="table" w:customStyle="1" w:styleId="MediumShading2-Accent11">
    <w:name w:val="Medium Shading 2 - Accent 11"/>
    <w:basedOn w:val="Obinatablica"/>
    <w:uiPriority w:val="64"/>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1">
    <w:name w:val="Caption1"/>
    <w:basedOn w:val="Normal"/>
    <w:next w:val="Normal"/>
    <w:autoRedefine/>
    <w:uiPriority w:val="35"/>
    <w:qFormat/>
    <w:rsid w:val="006C69B9"/>
    <w:pPr>
      <w:keepNext/>
      <w:spacing w:after="80" w:line="240" w:lineRule="auto"/>
      <w:jc w:val="center"/>
    </w:pPr>
    <w:rPr>
      <w:rFonts w:eastAsia="Calibri" w:cs="Calibri Light"/>
      <w:bCs/>
      <w:i/>
      <w:color w:val="31849B"/>
      <w:sz w:val="20"/>
    </w:rPr>
  </w:style>
  <w:style w:type="table" w:customStyle="1" w:styleId="MediumShading2-Accent12">
    <w:name w:val="Medium Shading 2 - Accent 12"/>
    <w:basedOn w:val="Obinatablica"/>
    <w:uiPriority w:val="64"/>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veza">
    <w:name w:val="Hyperlink"/>
    <w:uiPriority w:val="99"/>
    <w:rsid w:val="006C69B9"/>
    <w:rPr>
      <w:color w:val="0000FF"/>
      <w:u w:val="single"/>
    </w:rPr>
  </w:style>
  <w:style w:type="table" w:customStyle="1" w:styleId="LightList-Accent11">
    <w:name w:val="Light List - Accent 11"/>
    <w:basedOn w:val="Obinatablica"/>
    <w:uiPriority w:val="61"/>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Naslov1"/>
    <w:next w:val="Normal"/>
    <w:uiPriority w:val="39"/>
    <w:qFormat/>
    <w:rsid w:val="006C69B9"/>
    <w:pPr>
      <w:keepLines/>
      <w:numPr>
        <w:numId w:val="0"/>
      </w:numPr>
      <w:spacing w:after="0" w:line="259" w:lineRule="auto"/>
      <w:outlineLvl w:val="9"/>
    </w:pPr>
    <w:rPr>
      <w:rFonts w:ascii="Calibri Light" w:hAnsi="Calibri Light"/>
      <w:b w:val="0"/>
      <w:bCs w:val="0"/>
      <w:color w:val="2E74B5"/>
      <w:kern w:val="0"/>
      <w:sz w:val="32"/>
      <w:lang w:val="en-US" w:eastAsia="en-US"/>
    </w:rPr>
  </w:style>
  <w:style w:type="paragraph" w:styleId="Sadraj2">
    <w:name w:val="toc 2"/>
    <w:basedOn w:val="Normal"/>
    <w:next w:val="Normal"/>
    <w:autoRedefine/>
    <w:uiPriority w:val="39"/>
    <w:unhideWhenUsed/>
    <w:rsid w:val="006C69B9"/>
    <w:pPr>
      <w:tabs>
        <w:tab w:val="left" w:pos="880"/>
        <w:tab w:val="right" w:leader="dot" w:pos="9010"/>
      </w:tabs>
      <w:spacing w:after="100"/>
      <w:ind w:left="220"/>
      <w:jc w:val="both"/>
    </w:pPr>
    <w:rPr>
      <w:rFonts w:ascii="Calibri" w:eastAsia="Times New Roman" w:hAnsi="Calibri" w:cs="Times New Roman"/>
      <w:noProof/>
      <w:lang w:val="en-US"/>
    </w:rPr>
  </w:style>
  <w:style w:type="paragraph" w:styleId="Sadraj1">
    <w:name w:val="toc 1"/>
    <w:basedOn w:val="Normal"/>
    <w:next w:val="Normal"/>
    <w:autoRedefine/>
    <w:uiPriority w:val="39"/>
    <w:unhideWhenUsed/>
    <w:rsid w:val="006C69B9"/>
    <w:pPr>
      <w:tabs>
        <w:tab w:val="left" w:pos="440"/>
        <w:tab w:val="right" w:leader="dot" w:pos="9010"/>
      </w:tabs>
      <w:spacing w:after="100" w:line="240" w:lineRule="auto"/>
      <w:jc w:val="both"/>
    </w:pPr>
    <w:rPr>
      <w:rFonts w:ascii="Calibri" w:eastAsia="Times New Roman" w:hAnsi="Calibri" w:cs="Times New Roman"/>
      <w:noProof/>
      <w:lang w:val="en-US"/>
    </w:rPr>
  </w:style>
  <w:style w:type="paragraph" w:styleId="Sadraj3">
    <w:name w:val="toc 3"/>
    <w:basedOn w:val="Normal"/>
    <w:next w:val="Normal"/>
    <w:autoRedefine/>
    <w:uiPriority w:val="39"/>
    <w:unhideWhenUsed/>
    <w:rsid w:val="006C69B9"/>
    <w:pPr>
      <w:spacing w:after="100"/>
      <w:ind w:left="440"/>
    </w:pPr>
    <w:rPr>
      <w:rFonts w:ascii="Calibri" w:eastAsia="Times New Roman" w:hAnsi="Calibri" w:cs="Times New Roman"/>
      <w:lang w:val="en-US"/>
    </w:rPr>
  </w:style>
  <w:style w:type="paragraph" w:customStyle="1" w:styleId="Bezproreda1">
    <w:name w:val="Bez proreda1"/>
    <w:link w:val="BezproredaChar"/>
    <w:uiPriority w:val="1"/>
    <w:qFormat/>
    <w:rsid w:val="006C69B9"/>
    <w:pPr>
      <w:spacing w:after="0" w:line="240" w:lineRule="auto"/>
    </w:pPr>
    <w:rPr>
      <w:rFonts w:ascii="Calibri" w:eastAsia="Calibri" w:hAnsi="Calibri" w:cs="Times New Roman"/>
      <w:lang w:val="bs-Latn-BA"/>
    </w:rPr>
  </w:style>
  <w:style w:type="character" w:customStyle="1" w:styleId="BezproredaChar">
    <w:name w:val="Bez proreda Char"/>
    <w:link w:val="Bezproreda1"/>
    <w:uiPriority w:val="1"/>
    <w:locked/>
    <w:rsid w:val="006C69B9"/>
    <w:rPr>
      <w:rFonts w:ascii="Calibri" w:eastAsia="Calibri" w:hAnsi="Calibri" w:cs="Times New Roman"/>
      <w:lang w:val="bs-Latn-BA"/>
    </w:rPr>
  </w:style>
  <w:style w:type="character" w:styleId="SlijeenaHiperveza">
    <w:name w:val="FollowedHyperlink"/>
    <w:uiPriority w:val="99"/>
    <w:semiHidden/>
    <w:unhideWhenUsed/>
    <w:rsid w:val="006C69B9"/>
    <w:rPr>
      <w:color w:val="954F72"/>
      <w:u w:val="single"/>
    </w:rPr>
  </w:style>
  <w:style w:type="table" w:customStyle="1" w:styleId="GridTable5Dark-Accent11">
    <w:name w:val="Grid Table 5 Dark - Accent 11"/>
    <w:basedOn w:val="Obinatablica"/>
    <w:uiPriority w:val="50"/>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Obinatablica"/>
    <w:uiPriority w:val="49"/>
    <w:rsid w:val="006C69B9"/>
    <w:pPr>
      <w:spacing w:after="0" w:line="240" w:lineRule="auto"/>
    </w:pPr>
    <w:rPr>
      <w:rFonts w:ascii="Calibri" w:eastAsia="Calibri" w:hAnsi="Calibri" w:cs="Times New Roman"/>
      <w:color w:val="4472C4"/>
      <w:sz w:val="20"/>
      <w:szCs w:val="20"/>
      <w:lang w:val="en-US" w:eastAsia="zh-T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Obinatablica"/>
    <w:uiPriority w:val="51"/>
    <w:rsid w:val="006C69B9"/>
    <w:pPr>
      <w:spacing w:after="0" w:line="240" w:lineRule="auto"/>
    </w:pPr>
    <w:rPr>
      <w:rFonts w:ascii="Calibri" w:eastAsia="Calibri" w:hAnsi="Calibri" w:cs="Times New Roman"/>
      <w:color w:val="2E74B5"/>
      <w:sz w:val="20"/>
      <w:szCs w:val="20"/>
      <w:lang w:val="en-US" w:eastAsia="zh-T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Obinatablica"/>
    <w:uiPriority w:val="48"/>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Obinatablica"/>
    <w:uiPriority w:val="47"/>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Obinatablica"/>
    <w:uiPriority w:val="63"/>
    <w:unhideWhenUsed/>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6C69B9"/>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GridTable41">
    <w:name w:val="Grid Table 41"/>
    <w:basedOn w:val="Obinatablica"/>
    <w:uiPriority w:val="49"/>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PredmetkomentaraChar">
    <w:name w:val="Predmet komentara Char"/>
    <w:link w:val="Predmetkomentara"/>
    <w:uiPriority w:val="99"/>
    <w:semiHidden/>
    <w:rsid w:val="006C69B9"/>
    <w:rPr>
      <w:rFonts w:ascii="Calibri" w:eastAsia="Calibri" w:hAnsi="Calibri" w:cs="Times New Roman"/>
      <w:b/>
      <w:bCs/>
      <w:sz w:val="20"/>
      <w:szCs w:val="20"/>
      <w:lang w:eastAsia="hr-HR"/>
    </w:rPr>
  </w:style>
  <w:style w:type="paragraph" w:styleId="Predmetkomentara">
    <w:name w:val="annotation subject"/>
    <w:basedOn w:val="Tekstkomentara"/>
    <w:next w:val="Tekstkomentara"/>
    <w:link w:val="PredmetkomentaraChar"/>
    <w:uiPriority w:val="99"/>
    <w:semiHidden/>
    <w:unhideWhenUsed/>
    <w:rsid w:val="006C69B9"/>
    <w:rPr>
      <w:rFonts w:ascii="Calibri" w:eastAsia="Calibri" w:hAnsi="Calibri"/>
      <w:b/>
      <w:bCs/>
    </w:rPr>
  </w:style>
  <w:style w:type="character" w:customStyle="1" w:styleId="CommentSubjectChar1">
    <w:name w:val="Comment Subject Char1"/>
    <w:basedOn w:val="TekstkomentaraChar"/>
    <w:uiPriority w:val="99"/>
    <w:semiHidden/>
    <w:rsid w:val="006C69B9"/>
    <w:rPr>
      <w:rFonts w:ascii="Times New Roman" w:eastAsia="Times New Roman" w:hAnsi="Times New Roman" w:cs="Times New Roman"/>
      <w:b/>
      <w:bCs/>
      <w:sz w:val="20"/>
      <w:szCs w:val="20"/>
      <w:lang w:eastAsia="hr-HR"/>
    </w:rPr>
  </w:style>
  <w:style w:type="character" w:customStyle="1" w:styleId="Heading3">
    <w:name w:val="Heading #3_"/>
    <w:link w:val="Heading30"/>
    <w:locked/>
    <w:rsid w:val="006C69B9"/>
    <w:rPr>
      <w:rFonts w:ascii="Calibri" w:hAnsi="Calibri" w:cs="Calibri"/>
      <w:b/>
      <w:bCs/>
      <w:shd w:val="clear" w:color="auto" w:fill="FFFFFF"/>
    </w:rPr>
  </w:style>
  <w:style w:type="paragraph" w:customStyle="1" w:styleId="Heading30">
    <w:name w:val="Heading #3"/>
    <w:basedOn w:val="Normal"/>
    <w:link w:val="Heading3"/>
    <w:rsid w:val="006C69B9"/>
    <w:pPr>
      <w:widowControl w:val="0"/>
      <w:shd w:val="clear" w:color="auto" w:fill="FFFFFF"/>
      <w:spacing w:after="0" w:line="658" w:lineRule="exact"/>
      <w:jc w:val="both"/>
      <w:outlineLvl w:val="2"/>
    </w:pPr>
    <w:rPr>
      <w:rFonts w:ascii="Calibri" w:hAnsi="Calibri" w:cs="Calibri"/>
      <w:b/>
      <w:bCs/>
    </w:rPr>
  </w:style>
  <w:style w:type="paragraph" w:customStyle="1" w:styleId="p1">
    <w:name w:val="p1"/>
    <w:basedOn w:val="Normal"/>
    <w:rsid w:val="006C69B9"/>
    <w:pPr>
      <w:spacing w:after="0" w:line="240" w:lineRule="auto"/>
    </w:pPr>
    <w:rPr>
      <w:rFonts w:ascii="Verdana" w:eastAsia="Calibri" w:hAnsi="Verdana" w:cs="Times New Roman"/>
      <w:sz w:val="21"/>
      <w:szCs w:val="21"/>
      <w:lang w:val="en-US"/>
    </w:rPr>
  </w:style>
  <w:style w:type="character" w:customStyle="1" w:styleId="s1">
    <w:name w:val="s1"/>
    <w:rsid w:val="006C69B9"/>
  </w:style>
  <w:style w:type="character" w:styleId="Brojretka">
    <w:name w:val="line number"/>
    <w:basedOn w:val="Zadanifontodlomka"/>
    <w:uiPriority w:val="99"/>
    <w:semiHidden/>
    <w:unhideWhenUsed/>
    <w:rsid w:val="006C69B9"/>
  </w:style>
  <w:style w:type="paragraph" w:styleId="Sadraj4">
    <w:name w:val="toc 4"/>
    <w:basedOn w:val="Normal"/>
    <w:next w:val="Normal"/>
    <w:autoRedefine/>
    <w:uiPriority w:val="39"/>
    <w:unhideWhenUsed/>
    <w:rsid w:val="006C69B9"/>
    <w:pPr>
      <w:spacing w:after="100"/>
      <w:ind w:left="660"/>
    </w:pPr>
    <w:rPr>
      <w:rFonts w:ascii="Calibri" w:eastAsia="Times New Roman" w:hAnsi="Calibri" w:cs="Times New Roman"/>
      <w:lang w:val="bs-Latn-BA" w:eastAsia="bs-Latn-BA"/>
    </w:rPr>
  </w:style>
  <w:style w:type="paragraph" w:styleId="Sadraj5">
    <w:name w:val="toc 5"/>
    <w:basedOn w:val="Normal"/>
    <w:next w:val="Normal"/>
    <w:autoRedefine/>
    <w:uiPriority w:val="39"/>
    <w:unhideWhenUsed/>
    <w:rsid w:val="006C69B9"/>
    <w:pPr>
      <w:spacing w:after="100"/>
      <w:ind w:left="880"/>
    </w:pPr>
    <w:rPr>
      <w:rFonts w:ascii="Calibri" w:eastAsia="Times New Roman" w:hAnsi="Calibri" w:cs="Times New Roman"/>
      <w:lang w:val="bs-Latn-BA" w:eastAsia="bs-Latn-BA"/>
    </w:rPr>
  </w:style>
  <w:style w:type="paragraph" w:styleId="Sadraj6">
    <w:name w:val="toc 6"/>
    <w:basedOn w:val="Normal"/>
    <w:next w:val="Normal"/>
    <w:autoRedefine/>
    <w:uiPriority w:val="39"/>
    <w:unhideWhenUsed/>
    <w:rsid w:val="006C69B9"/>
    <w:pPr>
      <w:spacing w:after="100"/>
      <w:ind w:left="1100"/>
    </w:pPr>
    <w:rPr>
      <w:rFonts w:ascii="Calibri" w:eastAsia="Times New Roman" w:hAnsi="Calibri" w:cs="Times New Roman"/>
      <w:lang w:val="bs-Latn-BA" w:eastAsia="bs-Latn-BA"/>
    </w:rPr>
  </w:style>
  <w:style w:type="paragraph" w:styleId="Sadraj7">
    <w:name w:val="toc 7"/>
    <w:basedOn w:val="Normal"/>
    <w:next w:val="Normal"/>
    <w:autoRedefine/>
    <w:uiPriority w:val="39"/>
    <w:unhideWhenUsed/>
    <w:rsid w:val="006C69B9"/>
    <w:pPr>
      <w:spacing w:after="100"/>
      <w:ind w:left="1320"/>
    </w:pPr>
    <w:rPr>
      <w:rFonts w:ascii="Calibri" w:eastAsia="Times New Roman" w:hAnsi="Calibri" w:cs="Times New Roman"/>
      <w:lang w:val="bs-Latn-BA" w:eastAsia="bs-Latn-BA"/>
    </w:rPr>
  </w:style>
  <w:style w:type="paragraph" w:styleId="Sadraj8">
    <w:name w:val="toc 8"/>
    <w:basedOn w:val="Normal"/>
    <w:next w:val="Normal"/>
    <w:autoRedefine/>
    <w:uiPriority w:val="39"/>
    <w:unhideWhenUsed/>
    <w:rsid w:val="006C69B9"/>
    <w:pPr>
      <w:spacing w:after="100"/>
      <w:ind w:left="1540"/>
    </w:pPr>
    <w:rPr>
      <w:rFonts w:ascii="Calibri" w:eastAsia="Times New Roman" w:hAnsi="Calibri" w:cs="Times New Roman"/>
      <w:lang w:val="bs-Latn-BA" w:eastAsia="bs-Latn-BA"/>
    </w:rPr>
  </w:style>
  <w:style w:type="paragraph" w:styleId="Sadraj9">
    <w:name w:val="toc 9"/>
    <w:basedOn w:val="Normal"/>
    <w:next w:val="Normal"/>
    <w:autoRedefine/>
    <w:uiPriority w:val="39"/>
    <w:unhideWhenUsed/>
    <w:rsid w:val="006C69B9"/>
    <w:pPr>
      <w:spacing w:after="100"/>
      <w:ind w:left="1760"/>
    </w:pPr>
    <w:rPr>
      <w:rFonts w:ascii="Calibri" w:eastAsia="Times New Roman" w:hAnsi="Calibri" w:cs="Times New Roman"/>
      <w:lang w:val="bs-Latn-BA" w:eastAsia="bs-Latn-BA"/>
    </w:rPr>
  </w:style>
  <w:style w:type="table" w:customStyle="1" w:styleId="GridTable5Dark-Accent111">
    <w:name w:val="Grid Table 5 Dark - Accent 111"/>
    <w:basedOn w:val="Obinatablica"/>
    <w:uiPriority w:val="50"/>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Naslov2"/>
    <w:next w:val="Naslov"/>
    <w:autoRedefine/>
    <w:qFormat/>
    <w:rsid w:val="006C69B9"/>
  </w:style>
  <w:style w:type="paragraph" w:styleId="Naslov">
    <w:name w:val="Title"/>
    <w:basedOn w:val="Normal"/>
    <w:next w:val="Normal"/>
    <w:link w:val="NaslovChar"/>
    <w:qFormat/>
    <w:rsid w:val="006C69B9"/>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bs-Latn-BA"/>
    </w:rPr>
  </w:style>
  <w:style w:type="character" w:customStyle="1" w:styleId="NaslovChar">
    <w:name w:val="Naslov Char"/>
    <w:basedOn w:val="Zadanifontodlomka"/>
    <w:link w:val="Naslov"/>
    <w:rsid w:val="006C69B9"/>
    <w:rPr>
      <w:rFonts w:ascii="Calibri Light" w:eastAsia="Times New Roman" w:hAnsi="Calibri Light" w:cs="Times New Roman"/>
      <w:color w:val="323E4F"/>
      <w:spacing w:val="5"/>
      <w:kern w:val="28"/>
      <w:sz w:val="52"/>
      <w:szCs w:val="52"/>
      <w:lang w:val="bs-Latn-BA"/>
    </w:rPr>
  </w:style>
  <w:style w:type="table" w:customStyle="1" w:styleId="GridTable5DarkAccent12">
    <w:name w:val="Grid Table 5 Dark Accent 12"/>
    <w:basedOn w:val="Obinatablica"/>
    <w:uiPriority w:val="50"/>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Obinatablica"/>
    <w:uiPriority w:val="50"/>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Obinatablica"/>
    <w:uiPriority w:val="49"/>
    <w:rsid w:val="006C69B9"/>
    <w:pPr>
      <w:spacing w:after="0" w:line="240" w:lineRule="auto"/>
    </w:pPr>
    <w:rPr>
      <w:rFonts w:ascii="Calibri" w:eastAsia="Calibri" w:hAnsi="Calibri" w:cs="Times New Roman"/>
      <w:color w:val="4472C4"/>
      <w:sz w:val="20"/>
      <w:szCs w:val="20"/>
      <w:lang w:val="en-US" w:eastAsia="zh-T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tandardWeb">
    <w:name w:val="Normal (Web)"/>
    <w:basedOn w:val="Normal"/>
    <w:uiPriority w:val="99"/>
    <w:unhideWhenUsed/>
    <w:rsid w:val="006C69B9"/>
    <w:pPr>
      <w:spacing w:before="100" w:beforeAutospacing="1" w:after="100" w:afterAutospacing="1" w:line="240" w:lineRule="auto"/>
    </w:pPr>
    <w:rPr>
      <w:rFonts w:ascii="Times" w:eastAsia="Times New Roman" w:hAnsi="Times" w:cs="Times New Roman"/>
      <w:sz w:val="20"/>
      <w:szCs w:val="20"/>
      <w:lang w:val="en-US"/>
    </w:rPr>
  </w:style>
  <w:style w:type="paragraph" w:styleId="Tablicaslika">
    <w:name w:val="table of figures"/>
    <w:basedOn w:val="Normal"/>
    <w:next w:val="Normal"/>
    <w:uiPriority w:val="99"/>
    <w:unhideWhenUsed/>
    <w:rsid w:val="006C69B9"/>
    <w:pPr>
      <w:spacing w:after="0"/>
    </w:pPr>
    <w:rPr>
      <w:rFonts w:ascii="Calibri" w:eastAsia="Calibri" w:hAnsi="Calibri" w:cs="Times New Roman"/>
      <w:lang w:val="bs-Latn-BA"/>
    </w:rPr>
  </w:style>
  <w:style w:type="character" w:styleId="Brojstranice">
    <w:name w:val="page number"/>
    <w:basedOn w:val="Zadanifontodlomka"/>
    <w:rsid w:val="006C69B9"/>
  </w:style>
  <w:style w:type="paragraph" w:styleId="Naslovbiljeke">
    <w:name w:val="Note Heading"/>
    <w:basedOn w:val="Normal"/>
    <w:next w:val="Normal"/>
    <w:link w:val="NaslovbiljekeChar"/>
    <w:rsid w:val="006C69B9"/>
    <w:rPr>
      <w:rFonts w:ascii="Calibri" w:eastAsia="Calibri" w:hAnsi="Calibri" w:cs="Times New Roman"/>
      <w:lang w:val="bs-Latn-BA"/>
    </w:rPr>
  </w:style>
  <w:style w:type="character" w:customStyle="1" w:styleId="NaslovbiljekeChar">
    <w:name w:val="Naslov bilješke Char"/>
    <w:basedOn w:val="Zadanifontodlomka"/>
    <w:link w:val="Naslovbiljeke"/>
    <w:rsid w:val="006C69B9"/>
    <w:rPr>
      <w:rFonts w:ascii="Calibri" w:eastAsia="Calibri" w:hAnsi="Calibri" w:cs="Times New Roman"/>
      <w:lang w:val="bs-Latn-BA"/>
    </w:rPr>
  </w:style>
  <w:style w:type="paragraph" w:customStyle="1" w:styleId="Bezproreda2">
    <w:name w:val="Bez proreda2"/>
    <w:rsid w:val="006C69B9"/>
    <w:pPr>
      <w:suppressAutoHyphens/>
      <w:spacing w:after="0" w:line="240" w:lineRule="auto"/>
    </w:pPr>
    <w:rPr>
      <w:rFonts w:ascii="Calibri" w:eastAsia="Times New Roman" w:hAnsi="Calibri" w:cs="Calibri"/>
      <w:lang w:val="en-US" w:eastAsia="ar-SA"/>
    </w:rPr>
  </w:style>
  <w:style w:type="paragraph" w:styleId="Odlomakpopisa">
    <w:name w:val="List Paragraph"/>
    <w:aliases w:val="List Paragraph1,References,Bullets,List Paragraph (numbered (a)),List_Paragraph,Multilevel para_II,Akapit z listą BS,Bullet1,Numbered List Paragraph,Numbered Paragraph,Main numbered paragraph,Liste 1"/>
    <w:basedOn w:val="Normal"/>
    <w:link w:val="OdlomakpopisaChar"/>
    <w:uiPriority w:val="34"/>
    <w:qFormat/>
    <w:rsid w:val="006C69B9"/>
    <w:pPr>
      <w:ind w:left="720"/>
    </w:pPr>
    <w:rPr>
      <w:rFonts w:ascii="Calibri" w:eastAsia="Calibri" w:hAnsi="Calibri" w:cs="Times New Roman"/>
      <w:lang w:val="bs-Latn-BA"/>
    </w:rPr>
  </w:style>
  <w:style w:type="character" w:customStyle="1" w:styleId="OdlomakpopisaChar">
    <w:name w:val="Odlomak popisa Char"/>
    <w:aliases w:val="List Paragraph1 Char,References Char,Bullets Char,List Paragraph (numbered (a)) Char,List_Paragraph Char,Multilevel para_II Char,Akapit z listą BS Char,Bullet1 Char,Numbered List Paragraph Char,Numbered Paragraph Char1,Liste 1 Char"/>
    <w:link w:val="Odlomakpopisa"/>
    <w:uiPriority w:val="34"/>
    <w:locked/>
    <w:rsid w:val="006C69B9"/>
    <w:rPr>
      <w:rFonts w:ascii="Calibri" w:eastAsia="Calibri" w:hAnsi="Calibri" w:cs="Times New Roman"/>
      <w:lang w:val="bs-Latn-BA"/>
    </w:rPr>
  </w:style>
  <w:style w:type="paragraph" w:styleId="Revizija">
    <w:name w:val="Revision"/>
    <w:hidden/>
    <w:uiPriority w:val="99"/>
    <w:semiHidden/>
    <w:rsid w:val="006C69B9"/>
    <w:pPr>
      <w:spacing w:after="0" w:line="240" w:lineRule="auto"/>
    </w:pPr>
    <w:rPr>
      <w:rFonts w:ascii="Calibri" w:eastAsia="Calibri" w:hAnsi="Calibri" w:cs="Times New Roman"/>
      <w:lang w:val="bs-Latn-BA"/>
    </w:rPr>
  </w:style>
  <w:style w:type="paragraph" w:styleId="Bezproreda">
    <w:name w:val="No Spacing"/>
    <w:aliases w:val="Style 4"/>
    <w:link w:val="BezproredaChar1"/>
    <w:uiPriority w:val="1"/>
    <w:qFormat/>
    <w:rsid w:val="006C69B9"/>
    <w:pPr>
      <w:spacing w:after="0" w:line="240" w:lineRule="auto"/>
    </w:pPr>
    <w:rPr>
      <w:rFonts w:ascii="Calibri" w:eastAsia="Calibri" w:hAnsi="Calibri" w:cs="Times New Roman"/>
      <w:lang w:val="bs-Latn-BA"/>
    </w:rPr>
  </w:style>
  <w:style w:type="table" w:customStyle="1" w:styleId="LightList-Accent12">
    <w:name w:val="Light List - Accent 12"/>
    <w:basedOn w:val="Obinatablica"/>
    <w:uiPriority w:val="61"/>
    <w:rsid w:val="006C69B9"/>
    <w:pPr>
      <w:spacing w:after="0" w:line="240" w:lineRule="auto"/>
    </w:pPr>
    <w:rPr>
      <w:rFonts w:eastAsia="Times New Roman"/>
      <w:lang w:val="en-US" w:eastAsia="zh-TW"/>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PlainTable11">
    <w:name w:val="Plain Table 11"/>
    <w:basedOn w:val="Obinatablica"/>
    <w:uiPriority w:val="41"/>
    <w:rsid w:val="006C69B9"/>
    <w:pPr>
      <w:spacing w:after="0" w:line="240" w:lineRule="auto"/>
    </w:pPr>
    <w:rPr>
      <w:rFonts w:eastAsia="Times New Roman"/>
      <w:lang w:val="en-US" w:eastAsia="zh-TW"/>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Obinatablica"/>
    <w:uiPriority w:val="43"/>
    <w:rsid w:val="006C69B9"/>
    <w:pPr>
      <w:spacing w:after="0" w:line="240" w:lineRule="auto"/>
    </w:pPr>
    <w:rPr>
      <w:rFonts w:eastAsia="Times New Roman"/>
      <w:lang w:val="en-US" w:eastAsia="zh-TW"/>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Obinatablica"/>
    <w:uiPriority w:val="44"/>
    <w:rsid w:val="006C69B9"/>
    <w:pPr>
      <w:spacing w:after="0" w:line="240" w:lineRule="auto"/>
    </w:pPr>
    <w:rPr>
      <w:rFonts w:eastAsia="Times New Roman"/>
      <w:lang w:val="en-US" w:eastAsia="zh-TW"/>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31">
    <w:name w:val="Grid Table 6 Colorful - Accent 31"/>
    <w:basedOn w:val="Obinatablica"/>
    <w:uiPriority w:val="51"/>
    <w:rsid w:val="006C69B9"/>
    <w:pPr>
      <w:spacing w:after="0" w:line="240" w:lineRule="auto"/>
    </w:pPr>
    <w:rPr>
      <w:rFonts w:eastAsia="Times New Roman"/>
      <w:color w:val="76923C"/>
      <w:lang w:val="en-US" w:eastAsia="zh-TW"/>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Normal1">
    <w:name w:val="Table Normal1"/>
    <w:uiPriority w:val="2"/>
    <w:semiHidden/>
    <w:unhideWhenUsed/>
    <w:qFormat/>
    <w:rsid w:val="006C69B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69B9"/>
    <w:pPr>
      <w:widowControl w:val="0"/>
      <w:spacing w:after="0" w:line="240" w:lineRule="auto"/>
    </w:pPr>
    <w:rPr>
      <w:lang w:val="en-US"/>
    </w:rPr>
  </w:style>
  <w:style w:type="table" w:customStyle="1" w:styleId="PlainTable12">
    <w:name w:val="Plain Table 12"/>
    <w:basedOn w:val="Obinatablica"/>
    <w:uiPriority w:val="41"/>
    <w:rsid w:val="006C69B9"/>
    <w:pPr>
      <w:spacing w:after="0" w:line="240" w:lineRule="auto"/>
    </w:pPr>
    <w:rPr>
      <w:rFonts w:eastAsia="Times New Roman"/>
      <w:lang w:val="en-US" w:eastAsia="zh-TW"/>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Accent31">
    <w:name w:val="List Table 2 - Accent 31"/>
    <w:basedOn w:val="Obinatablica"/>
    <w:uiPriority w:val="47"/>
    <w:rsid w:val="006C69B9"/>
    <w:pPr>
      <w:spacing w:after="0" w:line="240" w:lineRule="auto"/>
    </w:pPr>
    <w:rPr>
      <w:rFonts w:eastAsia="Times New Roman"/>
      <w:lang w:val="en-US" w:eastAsia="zh-TW"/>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3-Accent31">
    <w:name w:val="Grid Table 3 - Accent 31"/>
    <w:basedOn w:val="Obinatablica"/>
    <w:uiPriority w:val="48"/>
    <w:rsid w:val="006C69B9"/>
    <w:pPr>
      <w:spacing w:after="0" w:line="240" w:lineRule="auto"/>
    </w:pPr>
    <w:rPr>
      <w:rFonts w:eastAsia="Times New Roman"/>
      <w:lang w:val="en-US" w:eastAsia="zh-TW"/>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eGridLight1">
    <w:name w:val="Table Grid Light1"/>
    <w:basedOn w:val="Obinatablica"/>
    <w:uiPriority w:val="40"/>
    <w:rsid w:val="006C69B9"/>
    <w:pPr>
      <w:spacing w:after="0" w:line="240" w:lineRule="auto"/>
    </w:pPr>
    <w:rPr>
      <w:rFonts w:eastAsia="Times New Roman"/>
      <w:lang w:val="en-US" w:eastAsia="zh-TW"/>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Naglaeno">
    <w:name w:val="Strong"/>
    <w:basedOn w:val="Zadanifontodlomka"/>
    <w:uiPriority w:val="22"/>
    <w:qFormat/>
    <w:rsid w:val="006C69B9"/>
    <w:rPr>
      <w:b/>
      <w:bCs/>
    </w:rPr>
  </w:style>
  <w:style w:type="paragraph" w:styleId="Tijeloteksta">
    <w:name w:val="Body Text"/>
    <w:basedOn w:val="Normal"/>
    <w:link w:val="TijelotekstaChar"/>
    <w:uiPriority w:val="1"/>
    <w:qFormat/>
    <w:rsid w:val="006C69B9"/>
    <w:pPr>
      <w:widowControl w:val="0"/>
      <w:autoSpaceDE w:val="0"/>
      <w:autoSpaceDN w:val="0"/>
      <w:spacing w:after="0" w:line="240" w:lineRule="auto"/>
    </w:pPr>
    <w:rPr>
      <w:rFonts w:ascii="Calibri" w:eastAsia="Calibri" w:hAnsi="Calibri" w:cs="Calibri"/>
      <w:lang w:val="bs-Latn-BA"/>
    </w:rPr>
  </w:style>
  <w:style w:type="character" w:customStyle="1" w:styleId="TijelotekstaChar">
    <w:name w:val="Tijelo teksta Char"/>
    <w:basedOn w:val="Zadanifontodlomka"/>
    <w:link w:val="Tijeloteksta"/>
    <w:uiPriority w:val="1"/>
    <w:rsid w:val="006C69B9"/>
    <w:rPr>
      <w:rFonts w:ascii="Calibri" w:eastAsia="Calibri" w:hAnsi="Calibri" w:cs="Calibri"/>
      <w:lang w:val="bs-Latn-BA"/>
    </w:rPr>
  </w:style>
  <w:style w:type="character" w:styleId="Istaknuto">
    <w:name w:val="Emphasis"/>
    <w:basedOn w:val="Zadanifontodlomka"/>
    <w:uiPriority w:val="20"/>
    <w:qFormat/>
    <w:rsid w:val="006C69B9"/>
    <w:rPr>
      <w:i/>
      <w:iCs/>
    </w:rPr>
  </w:style>
  <w:style w:type="table" w:customStyle="1" w:styleId="TableGrid2">
    <w:name w:val="Table Grid2"/>
    <w:basedOn w:val="Obinatablica"/>
    <w:next w:val="Reetkatablice"/>
    <w:uiPriority w:val="39"/>
    <w:rsid w:val="006C6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2">
    <w:name w:val="Grid Table 4 - Accent 12"/>
    <w:basedOn w:val="Obinatablica"/>
    <w:next w:val="GridTable4-Accent13"/>
    <w:uiPriority w:val="49"/>
    <w:rsid w:val="006C69B9"/>
    <w:pPr>
      <w:spacing w:after="0" w:line="240" w:lineRule="auto"/>
    </w:pPr>
    <w:rPr>
      <w:rFonts w:eastAsia="Calibri"/>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Obinatablica"/>
    <w:uiPriority w:val="49"/>
    <w:rsid w:val="006C69B9"/>
    <w:pPr>
      <w:spacing w:after="0" w:line="240" w:lineRule="auto"/>
    </w:pPr>
    <w:rPr>
      <w:rFonts w:eastAsia="Times New Roman"/>
      <w:lang w:val="en-US" w:eastAsia="zh-TW"/>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13">
    <w:name w:val="Plain Table 13"/>
    <w:basedOn w:val="Obinatablica"/>
    <w:uiPriority w:val="41"/>
    <w:rsid w:val="006C69B9"/>
    <w:pPr>
      <w:spacing w:after="0" w:line="240" w:lineRule="auto"/>
    </w:pPr>
    <w:rPr>
      <w:rFonts w:eastAsia="Times New Roman"/>
      <w:lang w:val="en-US" w:eastAsia="zh-TW"/>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Obinatablica"/>
    <w:uiPriority w:val="40"/>
    <w:rsid w:val="006C69B9"/>
    <w:pPr>
      <w:spacing w:after="0" w:line="240" w:lineRule="auto"/>
    </w:pPr>
    <w:rPr>
      <w:rFonts w:eastAsia="Times New Roman"/>
      <w:lang w:val="en-US" w:eastAsia="zh-TW"/>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BezproredaChar1">
    <w:name w:val="Bez proreda Char1"/>
    <w:aliases w:val="Style 4 Char"/>
    <w:basedOn w:val="Zadanifontodlomka"/>
    <w:link w:val="Bezproreda"/>
    <w:uiPriority w:val="1"/>
    <w:qFormat/>
    <w:rsid w:val="006C69B9"/>
    <w:rPr>
      <w:rFonts w:ascii="Calibri" w:eastAsia="Calibri" w:hAnsi="Calibri" w:cs="Times New Roman"/>
      <w:lang w:val="bs-Latn-BA"/>
    </w:rPr>
  </w:style>
  <w:style w:type="numbering" w:customStyle="1" w:styleId="WWOutlineListStyle">
    <w:name w:val="WW_OutlineListStyle"/>
    <w:basedOn w:val="Bezpopisa"/>
    <w:rsid w:val="006C69B9"/>
    <w:pPr>
      <w:numPr>
        <w:numId w:val="2"/>
      </w:numPr>
    </w:pPr>
  </w:style>
  <w:style w:type="paragraph" w:customStyle="1" w:styleId="Naslov11">
    <w:name w:val="Naslov 11"/>
    <w:basedOn w:val="Normal"/>
    <w:next w:val="Normal"/>
    <w:rsid w:val="006C69B9"/>
    <w:pPr>
      <w:keepNext/>
      <w:numPr>
        <w:numId w:val="2"/>
      </w:numPr>
      <w:suppressAutoHyphens/>
      <w:autoSpaceDN w:val="0"/>
      <w:spacing w:before="120" w:after="60" w:line="1" w:lineRule="atLeast"/>
      <w:textAlignment w:val="top"/>
      <w:outlineLvl w:val="0"/>
    </w:pPr>
    <w:rPr>
      <w:rFonts w:ascii="Times New Roman" w:eastAsia="Calibri" w:hAnsi="Times New Roman" w:cs="Times New Roman"/>
      <w:b/>
      <w:bCs/>
      <w:kern w:val="3"/>
      <w:sz w:val="32"/>
      <w:szCs w:val="32"/>
      <w:lang w:val="bs-Latn-BA"/>
    </w:rPr>
  </w:style>
  <w:style w:type="paragraph" w:customStyle="1" w:styleId="Naslov21">
    <w:name w:val="Naslov 21"/>
    <w:basedOn w:val="Normal"/>
    <w:next w:val="Normal"/>
    <w:rsid w:val="006C69B9"/>
    <w:pPr>
      <w:keepNext/>
      <w:keepLines/>
      <w:numPr>
        <w:ilvl w:val="1"/>
        <w:numId w:val="2"/>
      </w:numPr>
      <w:suppressAutoHyphens/>
      <w:autoSpaceDN w:val="0"/>
      <w:spacing w:before="200" w:after="0" w:line="1" w:lineRule="atLeast"/>
      <w:textAlignment w:val="top"/>
      <w:outlineLvl w:val="1"/>
    </w:pPr>
    <w:rPr>
      <w:rFonts w:ascii="Cambria" w:eastAsia="Times New Roman" w:hAnsi="Cambria" w:cs="Times New Roman"/>
      <w:b/>
      <w:bCs/>
      <w:color w:val="4F81BD"/>
      <w:sz w:val="26"/>
      <w:szCs w:val="26"/>
      <w:lang w:val="en-US"/>
    </w:rPr>
  </w:style>
  <w:style w:type="paragraph" w:customStyle="1" w:styleId="Naslov31">
    <w:name w:val="Naslov 31"/>
    <w:basedOn w:val="Normal"/>
    <w:next w:val="Normal"/>
    <w:rsid w:val="006C69B9"/>
    <w:pPr>
      <w:keepNext/>
      <w:keepLines/>
      <w:numPr>
        <w:ilvl w:val="2"/>
        <w:numId w:val="2"/>
      </w:numPr>
      <w:suppressAutoHyphens/>
      <w:autoSpaceDN w:val="0"/>
      <w:spacing w:before="120" w:after="60" w:line="1" w:lineRule="atLeast"/>
      <w:textAlignment w:val="top"/>
      <w:outlineLvl w:val="2"/>
    </w:pPr>
    <w:rPr>
      <w:rFonts w:ascii="Times New Roman" w:eastAsia="Times New Roman" w:hAnsi="Times New Roman" w:cs="Times New Roman"/>
      <w:b/>
      <w:bCs/>
      <w:color w:val="4F81BD"/>
      <w:lang w:val="bs-Latn-BA"/>
    </w:rPr>
  </w:style>
  <w:style w:type="paragraph" w:customStyle="1" w:styleId="Naslov41">
    <w:name w:val="Naslov 41"/>
    <w:basedOn w:val="Normal"/>
    <w:next w:val="Normal"/>
    <w:rsid w:val="006C69B9"/>
    <w:pPr>
      <w:keepNext/>
      <w:keepLines/>
      <w:numPr>
        <w:ilvl w:val="3"/>
        <w:numId w:val="2"/>
      </w:numPr>
      <w:suppressAutoHyphens/>
      <w:autoSpaceDN w:val="0"/>
      <w:spacing w:before="120" w:after="60" w:line="1" w:lineRule="atLeast"/>
      <w:textAlignment w:val="top"/>
      <w:outlineLvl w:val="3"/>
    </w:pPr>
    <w:rPr>
      <w:rFonts w:ascii="Times New Roman" w:eastAsia="Times New Roman" w:hAnsi="Times New Roman" w:cs="Times New Roman"/>
      <w:b/>
      <w:bCs/>
      <w:i/>
      <w:iCs/>
      <w:color w:val="4F81BD"/>
      <w:sz w:val="20"/>
      <w:szCs w:val="20"/>
      <w:lang w:val="bs-Latn-BA"/>
    </w:rPr>
  </w:style>
  <w:style w:type="paragraph" w:customStyle="1" w:styleId="Naslov51">
    <w:name w:val="Naslov 51"/>
    <w:basedOn w:val="Normal"/>
    <w:next w:val="Normal"/>
    <w:rsid w:val="006C69B9"/>
    <w:pPr>
      <w:keepNext/>
      <w:keepLines/>
      <w:numPr>
        <w:ilvl w:val="4"/>
        <w:numId w:val="2"/>
      </w:numPr>
      <w:suppressAutoHyphens/>
      <w:autoSpaceDN w:val="0"/>
      <w:spacing w:before="200" w:after="0" w:line="1" w:lineRule="atLeast"/>
      <w:textAlignment w:val="top"/>
      <w:outlineLvl w:val="4"/>
    </w:pPr>
    <w:rPr>
      <w:rFonts w:ascii="Cambria" w:eastAsia="MS ????" w:hAnsi="Cambria" w:cs="Times New Roman"/>
      <w:color w:val="243F60"/>
      <w:lang w:val="en-US"/>
    </w:rPr>
  </w:style>
  <w:style w:type="paragraph" w:customStyle="1" w:styleId="Naslov61">
    <w:name w:val="Naslov 61"/>
    <w:basedOn w:val="Normal"/>
    <w:next w:val="Normal"/>
    <w:rsid w:val="006C69B9"/>
    <w:pPr>
      <w:keepNext/>
      <w:keepLines/>
      <w:numPr>
        <w:ilvl w:val="5"/>
        <w:numId w:val="2"/>
      </w:numPr>
      <w:suppressAutoHyphens/>
      <w:autoSpaceDN w:val="0"/>
      <w:spacing w:before="200" w:after="0" w:line="1" w:lineRule="atLeast"/>
      <w:textAlignment w:val="top"/>
      <w:outlineLvl w:val="5"/>
    </w:pPr>
    <w:rPr>
      <w:rFonts w:ascii="Cambria" w:eastAsia="MS ????" w:hAnsi="Cambria" w:cs="Times New Roman"/>
      <w:i/>
      <w:iCs/>
      <w:color w:val="243F60"/>
      <w:lang w:val="en-US"/>
    </w:rPr>
  </w:style>
  <w:style w:type="paragraph" w:customStyle="1" w:styleId="Naslov71">
    <w:name w:val="Naslov 71"/>
    <w:basedOn w:val="Normal"/>
    <w:next w:val="Normal"/>
    <w:rsid w:val="006C69B9"/>
    <w:pPr>
      <w:keepNext/>
      <w:keepLines/>
      <w:numPr>
        <w:ilvl w:val="6"/>
        <w:numId w:val="2"/>
      </w:numPr>
      <w:suppressAutoHyphens/>
      <w:autoSpaceDN w:val="0"/>
      <w:spacing w:before="200" w:after="0" w:line="1" w:lineRule="atLeast"/>
      <w:textAlignment w:val="top"/>
      <w:outlineLvl w:val="6"/>
    </w:pPr>
    <w:rPr>
      <w:rFonts w:ascii="Cambria" w:eastAsia="MS ????" w:hAnsi="Cambria" w:cs="Times New Roman"/>
      <w:i/>
      <w:iCs/>
      <w:color w:val="404040"/>
      <w:lang w:val="en-US"/>
    </w:rPr>
  </w:style>
  <w:style w:type="paragraph" w:customStyle="1" w:styleId="Naslov81">
    <w:name w:val="Naslov 81"/>
    <w:basedOn w:val="Normal"/>
    <w:next w:val="Normal"/>
    <w:rsid w:val="006C69B9"/>
    <w:pPr>
      <w:keepNext/>
      <w:keepLines/>
      <w:numPr>
        <w:ilvl w:val="7"/>
        <w:numId w:val="2"/>
      </w:numPr>
      <w:suppressAutoHyphens/>
      <w:autoSpaceDN w:val="0"/>
      <w:spacing w:before="200" w:after="0" w:line="1" w:lineRule="atLeast"/>
      <w:textAlignment w:val="top"/>
      <w:outlineLvl w:val="7"/>
    </w:pPr>
    <w:rPr>
      <w:rFonts w:ascii="Cambria" w:eastAsia="MS ????" w:hAnsi="Cambria" w:cs="Times New Roman"/>
      <w:color w:val="404040"/>
      <w:sz w:val="20"/>
      <w:szCs w:val="20"/>
      <w:lang w:val="en-US"/>
    </w:rPr>
  </w:style>
  <w:style w:type="paragraph" w:customStyle="1" w:styleId="Naslov91">
    <w:name w:val="Naslov 91"/>
    <w:basedOn w:val="Normal"/>
    <w:next w:val="Normal"/>
    <w:rsid w:val="006C69B9"/>
    <w:pPr>
      <w:keepNext/>
      <w:keepLines/>
      <w:numPr>
        <w:ilvl w:val="8"/>
        <w:numId w:val="2"/>
      </w:numPr>
      <w:suppressAutoHyphens/>
      <w:autoSpaceDN w:val="0"/>
      <w:spacing w:before="200" w:after="0" w:line="1" w:lineRule="atLeast"/>
      <w:textAlignment w:val="top"/>
      <w:outlineLvl w:val="8"/>
    </w:pPr>
    <w:rPr>
      <w:rFonts w:ascii="Cambria" w:eastAsia="MS ????" w:hAnsi="Cambria" w:cs="Times New Roman"/>
      <w:i/>
      <w:iCs/>
      <w:color w:val="404040"/>
      <w:sz w:val="20"/>
      <w:szCs w:val="20"/>
      <w:lang w:val="en-US"/>
    </w:rPr>
  </w:style>
  <w:style w:type="character" w:customStyle="1" w:styleId="Zadanifontodlomka1">
    <w:name w:val="Zadani font odlomka1"/>
    <w:rsid w:val="006C69B9"/>
  </w:style>
  <w:style w:type="table" w:customStyle="1" w:styleId="GridTable4-Accent21">
    <w:name w:val="Grid Table 4 - Accent 21"/>
    <w:basedOn w:val="Obinatablica"/>
    <w:uiPriority w:val="49"/>
    <w:rsid w:val="006C69B9"/>
    <w:pPr>
      <w:spacing w:after="0" w:line="240" w:lineRule="auto"/>
    </w:pPr>
    <w:rPr>
      <w:rFonts w:eastAsia="Times New Roman"/>
      <w:lang w:val="en-US" w:eastAsia="zh-TW"/>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f">
    <w:name w:val="f"/>
    <w:basedOn w:val="Zadanifontodlomka"/>
    <w:rsid w:val="006C69B9"/>
  </w:style>
  <w:style w:type="table" w:customStyle="1" w:styleId="MediumGrid3-Accent51">
    <w:name w:val="Medium Grid 3 - Accent 51"/>
    <w:basedOn w:val="Obinatablica"/>
    <w:next w:val="Srednjareetka3-Isticanje5"/>
    <w:uiPriority w:val="69"/>
    <w:rsid w:val="006C69B9"/>
    <w:pPr>
      <w:spacing w:after="0" w:line="240" w:lineRule="auto"/>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13">
    <w:name w:val="Light List - Accent 13"/>
    <w:basedOn w:val="Obinatablica"/>
    <w:uiPriority w:val="61"/>
    <w:rsid w:val="006C69B9"/>
    <w:pPr>
      <w:spacing w:after="0" w:line="240" w:lineRule="auto"/>
    </w:pPr>
    <w:rPr>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1-Accent11">
    <w:name w:val="Medium Grid 1 - Accent 11"/>
    <w:basedOn w:val="Obinatablica"/>
    <w:next w:val="Srednjareetka1-Isticanje1"/>
    <w:uiPriority w:val="67"/>
    <w:rsid w:val="006C69B9"/>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Obinatablica"/>
    <w:uiPriority w:val="62"/>
    <w:rsid w:val="006C69B9"/>
    <w:pPr>
      <w:spacing w:after="0" w:line="240" w:lineRule="auto"/>
    </w:pPr>
    <w:rPr>
      <w:rFonts w:eastAsia="Times New Roman"/>
      <w:lang w:val="en-US" w:eastAsia="zh-TW"/>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
    <w:name w:val="Medium Shading 2 - Accent 51"/>
    <w:basedOn w:val="Obinatablica"/>
    <w:next w:val="Srednjesjenanje2-Isticanje5"/>
    <w:uiPriority w:val="64"/>
    <w:rsid w:val="006C69B9"/>
    <w:pPr>
      <w:spacing w:after="0" w:line="240" w:lineRule="auto"/>
    </w:pPr>
    <w:rPr>
      <w:rFonts w:eastAsia="Times New Roman"/>
      <w:lang w:val="en-US" w:eastAsia="zh-T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51">
    <w:name w:val="Medium Grid 1 - Accent 51"/>
    <w:basedOn w:val="Obinatablica"/>
    <w:next w:val="Srednjareetka1-Isticanje5"/>
    <w:uiPriority w:val="67"/>
    <w:rsid w:val="006C69B9"/>
    <w:pPr>
      <w:spacing w:after="0" w:line="240" w:lineRule="auto"/>
    </w:pPr>
    <w:rPr>
      <w:rFonts w:eastAsia="Times New Roman"/>
      <w:lang w:val="en-US" w:eastAsia="zh-TW"/>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ormal1">
    <w:name w:val="Normal1"/>
    <w:uiPriority w:val="99"/>
    <w:rsid w:val="006C69B9"/>
    <w:rPr>
      <w:rFonts w:ascii="Calibri" w:eastAsia="Calibri" w:hAnsi="Calibri" w:cs="Calibri"/>
    </w:rPr>
  </w:style>
  <w:style w:type="paragraph" w:customStyle="1" w:styleId="Bezproreda3">
    <w:name w:val="Bez proreda3"/>
    <w:rsid w:val="006C69B9"/>
    <w:pPr>
      <w:suppressAutoHyphens/>
      <w:spacing w:after="0" w:line="240" w:lineRule="auto"/>
    </w:pPr>
    <w:rPr>
      <w:rFonts w:ascii="Calibri" w:eastAsia="Times New Roman" w:hAnsi="Calibri" w:cs="Calibri"/>
      <w:lang w:eastAsia="ar-SA"/>
    </w:rPr>
  </w:style>
  <w:style w:type="numbering" w:customStyle="1" w:styleId="NoList11">
    <w:name w:val="No List11"/>
    <w:next w:val="Bezpopisa"/>
    <w:uiPriority w:val="99"/>
    <w:semiHidden/>
    <w:unhideWhenUsed/>
    <w:rsid w:val="006C69B9"/>
  </w:style>
  <w:style w:type="table" w:customStyle="1" w:styleId="GridTable6Colorful-Accent51">
    <w:name w:val="Grid Table 6 Colorful - Accent 51"/>
    <w:basedOn w:val="Obinatablica"/>
    <w:uiPriority w:val="51"/>
    <w:rsid w:val="006C69B9"/>
    <w:pPr>
      <w:spacing w:after="0" w:line="240" w:lineRule="auto"/>
    </w:pPr>
    <w:rPr>
      <w:rFonts w:ascii="Calibri" w:eastAsia="Calibri" w:hAnsi="Calibri" w:cs="Calibri"/>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har2">
    <w:name w:val="Char2"/>
    <w:basedOn w:val="Normal"/>
    <w:link w:val="Referencafusnote"/>
    <w:uiPriority w:val="99"/>
    <w:rsid w:val="006C69B9"/>
    <w:pPr>
      <w:spacing w:line="240" w:lineRule="exact"/>
    </w:pPr>
    <w:rPr>
      <w:vertAlign w:val="superscript"/>
    </w:rPr>
  </w:style>
  <w:style w:type="paragraph" w:customStyle="1" w:styleId="TOCHeading1">
    <w:name w:val="TOC Heading1"/>
    <w:basedOn w:val="Naslov1"/>
    <w:next w:val="Normal"/>
    <w:uiPriority w:val="39"/>
    <w:unhideWhenUsed/>
    <w:qFormat/>
    <w:rsid w:val="006C69B9"/>
    <w:pPr>
      <w:keepLines/>
      <w:numPr>
        <w:numId w:val="0"/>
      </w:numPr>
      <w:spacing w:after="0" w:line="259" w:lineRule="auto"/>
      <w:outlineLvl w:val="9"/>
    </w:pPr>
    <w:rPr>
      <w:rFonts w:ascii="Calibri Light" w:eastAsia="Times New Roman" w:hAnsi="Calibri Light"/>
      <w:b w:val="0"/>
      <w:bCs w:val="0"/>
      <w:color w:val="365F91"/>
      <w:kern w:val="0"/>
      <w:sz w:val="32"/>
      <w:lang w:val="en-US" w:eastAsia="en-US"/>
    </w:rPr>
  </w:style>
  <w:style w:type="paragraph" w:customStyle="1" w:styleId="Bibliography1">
    <w:name w:val="Bibliography1"/>
    <w:basedOn w:val="Normal"/>
    <w:next w:val="Normal"/>
    <w:uiPriority w:val="37"/>
    <w:unhideWhenUsed/>
    <w:rsid w:val="006C69B9"/>
    <w:rPr>
      <w:lang w:val="en-US"/>
    </w:rPr>
  </w:style>
  <w:style w:type="paragraph" w:styleId="Podnaslov">
    <w:name w:val="Subtitle"/>
    <w:basedOn w:val="Normal"/>
    <w:next w:val="Normal"/>
    <w:link w:val="PodnaslovChar"/>
    <w:rsid w:val="006C69B9"/>
    <w:pPr>
      <w:keepNext/>
      <w:keepLines/>
      <w:spacing w:before="360" w:after="80"/>
    </w:pPr>
    <w:rPr>
      <w:rFonts w:ascii="Georgia" w:eastAsia="Georgia" w:hAnsi="Georgia" w:cs="Georgia"/>
      <w:i/>
      <w:color w:val="666666"/>
      <w:sz w:val="48"/>
      <w:szCs w:val="48"/>
      <w:lang w:val="bs-Latn-BA"/>
    </w:rPr>
  </w:style>
  <w:style w:type="character" w:customStyle="1" w:styleId="PodnaslovChar">
    <w:name w:val="Podnaslov Char"/>
    <w:basedOn w:val="Zadanifontodlomka"/>
    <w:link w:val="Podnaslov"/>
    <w:rsid w:val="006C69B9"/>
    <w:rPr>
      <w:rFonts w:ascii="Georgia" w:eastAsia="Georgia" w:hAnsi="Georgia" w:cs="Georgia"/>
      <w:i/>
      <w:color w:val="666666"/>
      <w:sz w:val="48"/>
      <w:szCs w:val="48"/>
      <w:lang w:val="bs-Latn-BA"/>
    </w:rPr>
  </w:style>
  <w:style w:type="table" w:customStyle="1" w:styleId="MediumShading1-Accent51">
    <w:name w:val="Medium Shading 1 - Accent 51"/>
    <w:basedOn w:val="Obinatablica"/>
    <w:next w:val="Srednjesjenanje1-Isticanje5"/>
    <w:uiPriority w:val="63"/>
    <w:rsid w:val="006C69B9"/>
    <w:pPr>
      <w:spacing w:after="0" w:line="240" w:lineRule="auto"/>
    </w:pPr>
    <w:rPr>
      <w:rFonts w:eastAsia="Times New Roman"/>
      <w:lang w:val="en-US" w:eastAsia="zh-TW"/>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2-Accent51">
    <w:name w:val="Grid Table 2 - Accent 51"/>
    <w:basedOn w:val="Obinatablica"/>
    <w:uiPriority w:val="47"/>
    <w:rsid w:val="006C69B9"/>
    <w:pPr>
      <w:spacing w:after="0" w:line="240" w:lineRule="auto"/>
    </w:pPr>
    <w:rPr>
      <w:rFonts w:eastAsia="Times New Roman"/>
      <w:lang w:val="en-US" w:eastAsia="zh-TW"/>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12">
    <w:name w:val="Grid Table 5 Dark - Accent 12"/>
    <w:basedOn w:val="Obinatablica"/>
    <w:uiPriority w:val="50"/>
    <w:rsid w:val="006C69B9"/>
    <w:pPr>
      <w:spacing w:after="0" w:line="240" w:lineRule="auto"/>
    </w:pPr>
    <w:rPr>
      <w:lang w:val="hr-B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5Dark-Accent11">
    <w:name w:val="List Table 5 Dark - Accent 11"/>
    <w:basedOn w:val="Obinatablica"/>
    <w:uiPriority w:val="50"/>
    <w:rsid w:val="006C69B9"/>
    <w:pPr>
      <w:spacing w:after="0" w:line="240" w:lineRule="auto"/>
    </w:pPr>
    <w:rPr>
      <w:color w:val="FFFFFF"/>
      <w:lang w:val="hr-BA"/>
    </w:rPr>
    <w:tblPr>
      <w:tblStyleRowBandSize w:val="1"/>
      <w:tblStyleColBandSize w:val="1"/>
      <w:tblInd w:w="0" w:type="dxa"/>
      <w:tblBorders>
        <w:top w:val="single" w:sz="24" w:space="0" w:color="4F81BD"/>
        <w:left w:val="single" w:sz="24" w:space="0" w:color="4F81BD"/>
        <w:bottom w:val="single" w:sz="24" w:space="0" w:color="4F81BD"/>
        <w:right w:val="single" w:sz="24" w:space="0" w:color="4F81BD"/>
      </w:tblBorders>
      <w:tblCellMar>
        <w:top w:w="0" w:type="dxa"/>
        <w:left w:w="108" w:type="dxa"/>
        <w:bottom w:w="0" w:type="dxa"/>
        <w:right w:w="108" w:type="dxa"/>
      </w:tblCellMar>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MediumGrid3-Accent31">
    <w:name w:val="Medium Grid 3 - Accent 31"/>
    <w:basedOn w:val="Obinatablica"/>
    <w:next w:val="Srednjareetka3-Isticanje3"/>
    <w:uiPriority w:val="69"/>
    <w:rsid w:val="006C69B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binatablica31">
    <w:name w:val="Obična tablica 31"/>
    <w:basedOn w:val="Obinatablica"/>
    <w:uiPriority w:val="43"/>
    <w:rsid w:val="006C69B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51">
    <w:name w:val="Obična tablica 51"/>
    <w:basedOn w:val="Obinatablica"/>
    <w:uiPriority w:val="45"/>
    <w:rsid w:val="006C69B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ijetlatablicapopisa1-isticanje31">
    <w:name w:val="Svijetla tablica popisa 1 - isticanje 31"/>
    <w:basedOn w:val="Obinatablica"/>
    <w:uiPriority w:val="46"/>
    <w:rsid w:val="006C69B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icapopisa4-isticanje61">
    <w:name w:val="Tablica popisa 4 - isticanje 61"/>
    <w:basedOn w:val="Obinatablica"/>
    <w:uiPriority w:val="49"/>
    <w:rsid w:val="006C69B9"/>
    <w:pPr>
      <w:spacing w:after="0" w:line="240" w:lineRule="auto"/>
    </w:pPr>
    <w:rPr>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Obinatablica"/>
    <w:next w:val="Obinatablica"/>
    <w:uiPriority w:val="50"/>
    <w:rsid w:val="006C69B9"/>
    <w:pPr>
      <w:spacing w:after="0" w:line="240" w:lineRule="auto"/>
    </w:pPr>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1Light-Accent51">
    <w:name w:val="Grid Table 1 Light - Accent 51"/>
    <w:basedOn w:val="Obinatablica"/>
    <w:uiPriority w:val="46"/>
    <w:rsid w:val="006C69B9"/>
    <w:pPr>
      <w:spacing w:after="0" w:line="240" w:lineRule="auto"/>
    </w:pPr>
    <w:rPr>
      <w:rFonts w:eastAsia="Times New Roman"/>
      <w:lang w:val="en-US" w:eastAsia="zh-TW"/>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3">
    <w:name w:val="Table Grid3"/>
    <w:basedOn w:val="Obinatablica"/>
    <w:next w:val="Reetkatablice"/>
    <w:uiPriority w:val="39"/>
    <w:rsid w:val="006C6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2">
    <w:name w:val="Grid Table 5 Dark - Accent 112"/>
    <w:basedOn w:val="Obinatablica"/>
    <w:uiPriority w:val="50"/>
    <w:rsid w:val="006C69B9"/>
    <w:pPr>
      <w:spacing w:after="0" w:line="240" w:lineRule="auto"/>
    </w:pPr>
    <w:rPr>
      <w:rFonts w:ascii="Calibri" w:eastAsia="Calibri" w:hAnsi="Calibri" w:cs="Times New Roman"/>
      <w:sz w:val="20"/>
      <w:szCs w:val="20"/>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Obinatablica"/>
    <w:uiPriority w:val="50"/>
    <w:rsid w:val="006C69B9"/>
    <w:pPr>
      <w:spacing w:after="0" w:line="240" w:lineRule="auto"/>
    </w:pPr>
    <w:rPr>
      <w:rFonts w:eastAsia="Times New Roman"/>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Grid3-Accent511">
    <w:name w:val="Medium Grid 3 - Accent 511"/>
    <w:basedOn w:val="Obinatablica"/>
    <w:next w:val="Srednjareetka3-Isticanje5"/>
    <w:uiPriority w:val="69"/>
    <w:rsid w:val="006C69B9"/>
    <w:pPr>
      <w:spacing w:after="0" w:line="240" w:lineRule="auto"/>
    </w:pPr>
    <w:rPr>
      <w:rFonts w:eastAsia="Calibri"/>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PlainTable121">
    <w:name w:val="Plain Table 121"/>
    <w:basedOn w:val="Obinatablica"/>
    <w:uiPriority w:val="41"/>
    <w:rsid w:val="006C69B9"/>
    <w:pPr>
      <w:spacing w:after="0" w:line="240" w:lineRule="auto"/>
    </w:pPr>
    <w:rPr>
      <w:rFonts w:eastAsia="Times New Roman"/>
      <w:lang w:val="en-US" w:eastAsia="zh-TW"/>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
    <w:name w:val="Grid Table 4 - Accent 51"/>
    <w:basedOn w:val="Obinatablica"/>
    <w:uiPriority w:val="49"/>
    <w:rsid w:val="006C69B9"/>
    <w:pPr>
      <w:spacing w:after="0" w:line="240" w:lineRule="auto"/>
    </w:pPr>
    <w:rPr>
      <w:rFonts w:eastAsia="Times New Roman"/>
      <w:lang w:val="en-US" w:eastAsia="zh-TW"/>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ListParagraphChar">
    <w:name w:val="List Paragraph Char"/>
    <w:aliases w:val="Numbered Paragraph Char"/>
    <w:basedOn w:val="Zadanifontodlomka"/>
    <w:uiPriority w:val="34"/>
    <w:qFormat/>
    <w:locked/>
    <w:rsid w:val="006C69B9"/>
    <w:rPr>
      <w:rFonts w:ascii="Times New Roman" w:eastAsia="Times New Roman" w:hAnsi="Times New Roman"/>
      <w:sz w:val="24"/>
      <w:lang w:val="hr-BA"/>
    </w:rPr>
  </w:style>
  <w:style w:type="table" w:customStyle="1" w:styleId="GridTable1Light1">
    <w:name w:val="Grid Table 1 Light1"/>
    <w:basedOn w:val="Obinatablica"/>
    <w:uiPriority w:val="46"/>
    <w:rsid w:val="006C69B9"/>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BodyText31">
    <w:name w:val="Body Text 31"/>
    <w:basedOn w:val="Normal"/>
    <w:next w:val="Tijeloteksta3"/>
    <w:link w:val="BodyText3Char"/>
    <w:uiPriority w:val="99"/>
    <w:semiHidden/>
    <w:unhideWhenUsed/>
    <w:rsid w:val="006C69B9"/>
    <w:pPr>
      <w:spacing w:after="120"/>
    </w:pPr>
    <w:rPr>
      <w:rFonts w:eastAsia="Calibri"/>
      <w:sz w:val="16"/>
      <w:szCs w:val="16"/>
    </w:rPr>
  </w:style>
  <w:style w:type="character" w:customStyle="1" w:styleId="BodyText3Char">
    <w:name w:val="Body Text 3 Char"/>
    <w:basedOn w:val="Zadanifontodlomka"/>
    <w:link w:val="BodyText31"/>
    <w:uiPriority w:val="99"/>
    <w:semiHidden/>
    <w:rsid w:val="006C69B9"/>
    <w:rPr>
      <w:rFonts w:eastAsia="Calibri"/>
      <w:sz w:val="16"/>
      <w:szCs w:val="16"/>
      <w:lang w:eastAsia="en-US"/>
    </w:rPr>
  </w:style>
  <w:style w:type="table" w:customStyle="1" w:styleId="ListTable5Dark-Accent51">
    <w:name w:val="List Table 5 Dark - Accent 51"/>
    <w:basedOn w:val="Obinatablica"/>
    <w:uiPriority w:val="50"/>
    <w:rsid w:val="006C69B9"/>
    <w:pPr>
      <w:spacing w:after="0" w:line="240" w:lineRule="auto"/>
    </w:pPr>
    <w:rPr>
      <w:rFonts w:eastAsia="Times New Roman"/>
      <w:color w:val="FFFFFF"/>
      <w:lang w:val="en-US" w:eastAsia="zh-TW"/>
    </w:rPr>
    <w:tblPr>
      <w:tblStyleRowBandSize w:val="1"/>
      <w:tblStyleColBandSize w:val="1"/>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Naslov12">
    <w:name w:val="Naslov 12"/>
    <w:basedOn w:val="Normal"/>
    <w:next w:val="Normal"/>
    <w:rsid w:val="006C69B9"/>
    <w:pPr>
      <w:keepNext/>
      <w:suppressAutoHyphens/>
      <w:autoSpaceDN w:val="0"/>
      <w:spacing w:before="120" w:after="60" w:line="1" w:lineRule="atLeast"/>
      <w:ind w:left="432" w:hanging="432"/>
      <w:textAlignment w:val="top"/>
      <w:outlineLvl w:val="0"/>
    </w:pPr>
    <w:rPr>
      <w:rFonts w:ascii="Times New Roman" w:eastAsia="Calibri" w:hAnsi="Times New Roman" w:cs="Times New Roman"/>
      <w:b/>
      <w:bCs/>
      <w:kern w:val="3"/>
      <w:sz w:val="32"/>
      <w:szCs w:val="32"/>
      <w:lang w:val="bs-Latn-BA"/>
    </w:rPr>
  </w:style>
  <w:style w:type="paragraph" w:customStyle="1" w:styleId="Naslov22">
    <w:name w:val="Naslov 22"/>
    <w:basedOn w:val="Normal"/>
    <w:next w:val="Normal"/>
    <w:rsid w:val="006C69B9"/>
    <w:pPr>
      <w:keepNext/>
      <w:keepLines/>
      <w:suppressAutoHyphens/>
      <w:autoSpaceDN w:val="0"/>
      <w:spacing w:before="200" w:after="0" w:line="1" w:lineRule="atLeast"/>
      <w:ind w:left="576" w:hanging="576"/>
      <w:textAlignment w:val="top"/>
      <w:outlineLvl w:val="1"/>
    </w:pPr>
    <w:rPr>
      <w:rFonts w:ascii="Cambria" w:eastAsia="Times New Roman" w:hAnsi="Cambria" w:cs="Times New Roman"/>
      <w:b/>
      <w:bCs/>
      <w:color w:val="4F81BD"/>
      <w:sz w:val="26"/>
      <w:szCs w:val="26"/>
      <w:lang w:val="en-US"/>
    </w:rPr>
  </w:style>
  <w:style w:type="paragraph" w:customStyle="1" w:styleId="Naslov32">
    <w:name w:val="Naslov 32"/>
    <w:basedOn w:val="Normal"/>
    <w:next w:val="Normal"/>
    <w:rsid w:val="006C69B9"/>
    <w:pPr>
      <w:keepNext/>
      <w:keepLines/>
      <w:suppressAutoHyphens/>
      <w:autoSpaceDN w:val="0"/>
      <w:spacing w:before="120" w:after="60" w:line="1" w:lineRule="atLeast"/>
      <w:ind w:left="720" w:hanging="720"/>
      <w:textAlignment w:val="top"/>
      <w:outlineLvl w:val="2"/>
    </w:pPr>
    <w:rPr>
      <w:rFonts w:ascii="Times New Roman" w:eastAsia="Times New Roman" w:hAnsi="Times New Roman" w:cs="Times New Roman"/>
      <w:b/>
      <w:bCs/>
      <w:color w:val="4F81BD"/>
      <w:lang w:val="bs-Latn-BA"/>
    </w:rPr>
  </w:style>
  <w:style w:type="paragraph" w:customStyle="1" w:styleId="Naslov42">
    <w:name w:val="Naslov 42"/>
    <w:basedOn w:val="Normal"/>
    <w:next w:val="Normal"/>
    <w:rsid w:val="006C69B9"/>
    <w:pPr>
      <w:keepNext/>
      <w:keepLines/>
      <w:suppressAutoHyphens/>
      <w:autoSpaceDN w:val="0"/>
      <w:spacing w:before="120" w:after="60" w:line="1" w:lineRule="atLeast"/>
      <w:ind w:left="864" w:hanging="864"/>
      <w:textAlignment w:val="top"/>
      <w:outlineLvl w:val="3"/>
    </w:pPr>
    <w:rPr>
      <w:rFonts w:ascii="Times New Roman" w:eastAsia="Times New Roman" w:hAnsi="Times New Roman" w:cs="Times New Roman"/>
      <w:b/>
      <w:bCs/>
      <w:i/>
      <w:iCs/>
      <w:color w:val="4F81BD"/>
      <w:sz w:val="20"/>
      <w:szCs w:val="20"/>
      <w:lang w:val="bs-Latn-BA"/>
    </w:rPr>
  </w:style>
  <w:style w:type="paragraph" w:customStyle="1" w:styleId="Naslov52">
    <w:name w:val="Naslov 52"/>
    <w:basedOn w:val="Normal"/>
    <w:next w:val="Normal"/>
    <w:rsid w:val="006C69B9"/>
    <w:pPr>
      <w:keepNext/>
      <w:keepLines/>
      <w:suppressAutoHyphens/>
      <w:autoSpaceDN w:val="0"/>
      <w:spacing w:before="200" w:after="0" w:line="1" w:lineRule="atLeast"/>
      <w:ind w:left="1008" w:hanging="1008"/>
      <w:textAlignment w:val="top"/>
      <w:outlineLvl w:val="4"/>
    </w:pPr>
    <w:rPr>
      <w:rFonts w:ascii="Cambria" w:eastAsia="MS ????" w:hAnsi="Cambria" w:cs="Times New Roman"/>
      <w:color w:val="243F60"/>
      <w:lang w:val="en-US"/>
    </w:rPr>
  </w:style>
  <w:style w:type="paragraph" w:customStyle="1" w:styleId="Naslov62">
    <w:name w:val="Naslov 62"/>
    <w:basedOn w:val="Normal"/>
    <w:next w:val="Normal"/>
    <w:rsid w:val="006C69B9"/>
    <w:pPr>
      <w:keepNext/>
      <w:keepLines/>
      <w:suppressAutoHyphens/>
      <w:autoSpaceDN w:val="0"/>
      <w:spacing w:before="200" w:after="0" w:line="1" w:lineRule="atLeast"/>
      <w:ind w:left="1152" w:hanging="1152"/>
      <w:textAlignment w:val="top"/>
      <w:outlineLvl w:val="5"/>
    </w:pPr>
    <w:rPr>
      <w:rFonts w:ascii="Cambria" w:eastAsia="MS ????" w:hAnsi="Cambria" w:cs="Times New Roman"/>
      <w:i/>
      <w:iCs/>
      <w:color w:val="243F60"/>
      <w:lang w:val="en-US"/>
    </w:rPr>
  </w:style>
  <w:style w:type="paragraph" w:customStyle="1" w:styleId="Naslov72">
    <w:name w:val="Naslov 72"/>
    <w:basedOn w:val="Normal"/>
    <w:next w:val="Normal"/>
    <w:rsid w:val="006C69B9"/>
    <w:pPr>
      <w:keepNext/>
      <w:keepLines/>
      <w:suppressAutoHyphens/>
      <w:autoSpaceDN w:val="0"/>
      <w:spacing w:before="200" w:after="0" w:line="1" w:lineRule="atLeast"/>
      <w:ind w:left="1296" w:hanging="1296"/>
      <w:textAlignment w:val="top"/>
      <w:outlineLvl w:val="6"/>
    </w:pPr>
    <w:rPr>
      <w:rFonts w:ascii="Cambria" w:eastAsia="MS ????" w:hAnsi="Cambria" w:cs="Times New Roman"/>
      <w:i/>
      <w:iCs/>
      <w:color w:val="404040"/>
      <w:lang w:val="en-US"/>
    </w:rPr>
  </w:style>
  <w:style w:type="paragraph" w:customStyle="1" w:styleId="Naslov82">
    <w:name w:val="Naslov 82"/>
    <w:basedOn w:val="Normal"/>
    <w:next w:val="Normal"/>
    <w:rsid w:val="006C69B9"/>
    <w:pPr>
      <w:keepNext/>
      <w:keepLines/>
      <w:suppressAutoHyphens/>
      <w:autoSpaceDN w:val="0"/>
      <w:spacing w:before="200" w:after="0" w:line="1" w:lineRule="atLeast"/>
      <w:ind w:left="1440" w:hanging="1440"/>
      <w:textAlignment w:val="top"/>
      <w:outlineLvl w:val="7"/>
    </w:pPr>
    <w:rPr>
      <w:rFonts w:ascii="Cambria" w:eastAsia="MS ????" w:hAnsi="Cambria" w:cs="Times New Roman"/>
      <w:color w:val="404040"/>
      <w:sz w:val="20"/>
      <w:szCs w:val="20"/>
      <w:lang w:val="en-US"/>
    </w:rPr>
  </w:style>
  <w:style w:type="paragraph" w:customStyle="1" w:styleId="Naslov92">
    <w:name w:val="Naslov 92"/>
    <w:basedOn w:val="Normal"/>
    <w:next w:val="Normal"/>
    <w:rsid w:val="006C69B9"/>
    <w:pPr>
      <w:keepNext/>
      <w:keepLines/>
      <w:suppressAutoHyphens/>
      <w:autoSpaceDN w:val="0"/>
      <w:spacing w:before="200" w:after="0" w:line="1" w:lineRule="atLeast"/>
      <w:ind w:left="1584" w:hanging="1584"/>
      <w:textAlignment w:val="top"/>
      <w:outlineLvl w:val="8"/>
    </w:pPr>
    <w:rPr>
      <w:rFonts w:ascii="Cambria" w:eastAsia="MS ????" w:hAnsi="Cambria" w:cs="Times New Roman"/>
      <w:i/>
      <w:iCs/>
      <w:color w:val="404040"/>
      <w:sz w:val="20"/>
      <w:szCs w:val="20"/>
      <w:lang w:val="en-US"/>
    </w:rPr>
  </w:style>
  <w:style w:type="table" w:customStyle="1" w:styleId="LightList-Accent31">
    <w:name w:val="Light List - Accent 31"/>
    <w:basedOn w:val="Obinatablica"/>
    <w:next w:val="Svijetlipopis-Isticanje3"/>
    <w:uiPriority w:val="61"/>
    <w:rsid w:val="006C69B9"/>
    <w:pPr>
      <w:spacing w:after="0" w:line="240" w:lineRule="auto"/>
    </w:pPr>
    <w:rPr>
      <w:rFonts w:eastAsia="Times New Roman"/>
      <w:lang w:val="en-US" w:eastAsia="zh-TW"/>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5Dark-Accent32">
    <w:name w:val="Grid Table 5 Dark - Accent 32"/>
    <w:basedOn w:val="Obinatablica"/>
    <w:uiPriority w:val="50"/>
    <w:rsid w:val="006C69B9"/>
    <w:pPr>
      <w:spacing w:after="0" w:line="240" w:lineRule="auto"/>
    </w:pPr>
    <w:rPr>
      <w:rFonts w:eastAsia="Times New Roman"/>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511">
    <w:name w:val="Grid Table 4 - Accent 511"/>
    <w:basedOn w:val="Obinatablica"/>
    <w:uiPriority w:val="49"/>
    <w:rsid w:val="006C69B9"/>
    <w:pPr>
      <w:spacing w:after="0" w:line="240" w:lineRule="auto"/>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style>
  <w:style w:type="table" w:customStyle="1" w:styleId="MediumGrid1-Accent31">
    <w:name w:val="Medium Grid 1 - Accent 31"/>
    <w:basedOn w:val="Obinatablica"/>
    <w:next w:val="Srednjareetka1-Isticanje3"/>
    <w:uiPriority w:val="67"/>
    <w:rsid w:val="006C69B9"/>
    <w:pPr>
      <w:spacing w:after="0" w:line="240" w:lineRule="auto"/>
    </w:pPr>
    <w:rPr>
      <w:rFonts w:eastAsia="Times New Roman"/>
      <w:lang w:val="en-US" w:eastAsia="zh-TW"/>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5Dark-Accent52">
    <w:name w:val="Grid Table 5 Dark - Accent 52"/>
    <w:basedOn w:val="Obinatablica"/>
    <w:next w:val="GridTable5DarkAccent5"/>
    <w:uiPriority w:val="50"/>
    <w:rsid w:val="006C69B9"/>
    <w:pPr>
      <w:spacing w:after="0" w:line="240" w:lineRule="auto"/>
    </w:pPr>
    <w:rPr>
      <w:rFonts w:eastAsia="Times New Roman"/>
      <w:lang w:val="en-US"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msonormal0">
    <w:name w:val="msonormal"/>
    <w:basedOn w:val="Normal"/>
    <w:rsid w:val="006C69B9"/>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customStyle="1" w:styleId="font5">
    <w:name w:val="font5"/>
    <w:basedOn w:val="Normal"/>
    <w:rsid w:val="006C69B9"/>
    <w:pPr>
      <w:spacing w:before="100" w:beforeAutospacing="1" w:after="100" w:afterAutospacing="1" w:line="240" w:lineRule="auto"/>
    </w:pPr>
    <w:rPr>
      <w:rFonts w:ascii="Calibri" w:eastAsia="Times New Roman" w:hAnsi="Calibri" w:cs="Calibri"/>
      <w:color w:val="000000"/>
      <w:sz w:val="20"/>
      <w:szCs w:val="20"/>
      <w:lang w:val="bs-Latn-BA" w:eastAsia="bs-Latn-BA"/>
    </w:rPr>
  </w:style>
  <w:style w:type="paragraph" w:customStyle="1" w:styleId="font6">
    <w:name w:val="font6"/>
    <w:basedOn w:val="Normal"/>
    <w:rsid w:val="006C69B9"/>
    <w:pPr>
      <w:spacing w:before="100" w:beforeAutospacing="1" w:after="100" w:afterAutospacing="1" w:line="240" w:lineRule="auto"/>
    </w:pPr>
    <w:rPr>
      <w:rFonts w:ascii="Calibri" w:eastAsia="Times New Roman" w:hAnsi="Calibri" w:cs="Calibri"/>
      <w:b/>
      <w:bCs/>
      <w:color w:val="FFFFFF"/>
      <w:sz w:val="20"/>
      <w:szCs w:val="20"/>
      <w:lang w:val="bs-Latn-BA" w:eastAsia="bs-Latn-BA"/>
    </w:rPr>
  </w:style>
  <w:style w:type="paragraph" w:customStyle="1" w:styleId="font7">
    <w:name w:val="font7"/>
    <w:basedOn w:val="Normal"/>
    <w:rsid w:val="006C69B9"/>
    <w:pPr>
      <w:spacing w:before="100" w:beforeAutospacing="1" w:after="100" w:afterAutospacing="1" w:line="240" w:lineRule="auto"/>
    </w:pPr>
    <w:rPr>
      <w:rFonts w:ascii="Calibri Light" w:eastAsia="Times New Roman" w:hAnsi="Calibri Light" w:cs="Calibri Light"/>
      <w:color w:val="000000"/>
      <w:sz w:val="20"/>
      <w:szCs w:val="20"/>
      <w:lang w:val="bs-Latn-BA" w:eastAsia="bs-Latn-BA"/>
    </w:rPr>
  </w:style>
  <w:style w:type="paragraph" w:customStyle="1" w:styleId="xl63">
    <w:name w:val="xl63"/>
    <w:basedOn w:val="Normal"/>
    <w:rsid w:val="006C69B9"/>
    <w:pPr>
      <w:spacing w:before="100" w:beforeAutospacing="1" w:after="100" w:afterAutospacing="1" w:line="240" w:lineRule="auto"/>
      <w:textAlignment w:val="center"/>
    </w:pPr>
    <w:rPr>
      <w:rFonts w:ascii="Times New Roman" w:eastAsia="Times New Roman" w:hAnsi="Times New Roman" w:cs="Times New Roman"/>
      <w:sz w:val="24"/>
      <w:szCs w:val="24"/>
      <w:lang w:val="bs-Latn-BA" w:eastAsia="bs-Latn-BA"/>
    </w:rPr>
  </w:style>
  <w:style w:type="paragraph" w:customStyle="1" w:styleId="xl64">
    <w:name w:val="xl64"/>
    <w:basedOn w:val="Normal"/>
    <w:rsid w:val="006C69B9"/>
    <w:pPr>
      <w:shd w:val="clear" w:color="000000" w:fill="FFFFFF"/>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customStyle="1" w:styleId="xl65">
    <w:name w:val="xl65"/>
    <w:basedOn w:val="Normal"/>
    <w:rsid w:val="006C69B9"/>
    <w:pPr>
      <w:spacing w:before="100" w:beforeAutospacing="1" w:after="100" w:afterAutospacing="1" w:line="240" w:lineRule="auto"/>
    </w:pPr>
    <w:rPr>
      <w:rFonts w:ascii="Times New Roman" w:eastAsia="Times New Roman" w:hAnsi="Times New Roman" w:cs="Times New Roman"/>
      <w:sz w:val="20"/>
      <w:szCs w:val="20"/>
      <w:lang w:val="bs-Latn-BA" w:eastAsia="bs-Latn-BA"/>
    </w:rPr>
  </w:style>
  <w:style w:type="paragraph" w:customStyle="1" w:styleId="xl66">
    <w:name w:val="xl66"/>
    <w:basedOn w:val="Normal"/>
    <w:rsid w:val="006C69B9"/>
    <w:pPr>
      <w:spacing w:before="100" w:beforeAutospacing="1" w:after="100" w:afterAutospacing="1" w:line="240" w:lineRule="auto"/>
    </w:pPr>
    <w:rPr>
      <w:rFonts w:ascii="Times New Roman" w:eastAsia="Times New Roman" w:hAnsi="Times New Roman" w:cs="Times New Roman"/>
      <w:b/>
      <w:bCs/>
      <w:sz w:val="20"/>
      <w:szCs w:val="20"/>
      <w:lang w:val="bs-Latn-BA" w:eastAsia="bs-Latn-BA"/>
    </w:rPr>
  </w:style>
  <w:style w:type="paragraph" w:customStyle="1" w:styleId="xl67">
    <w:name w:val="xl67"/>
    <w:basedOn w:val="Normal"/>
    <w:rsid w:val="006C69B9"/>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customStyle="1" w:styleId="xl68">
    <w:name w:val="xl68"/>
    <w:basedOn w:val="Normal"/>
    <w:rsid w:val="006C69B9"/>
    <w:pPr>
      <w:shd w:val="clear" w:color="000000" w:fill="FFFFFF"/>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customStyle="1" w:styleId="xl69">
    <w:name w:val="xl69"/>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bs-Latn-BA" w:eastAsia="bs-Latn-BA"/>
    </w:rPr>
  </w:style>
  <w:style w:type="paragraph" w:customStyle="1" w:styleId="xl70">
    <w:name w:val="xl70"/>
    <w:basedOn w:val="Normal"/>
    <w:rsid w:val="006C69B9"/>
    <w:pPr>
      <w:spacing w:before="100" w:beforeAutospacing="1" w:after="100" w:afterAutospacing="1" w:line="240" w:lineRule="auto"/>
    </w:pPr>
    <w:rPr>
      <w:rFonts w:ascii="Times New Roman" w:eastAsia="Times New Roman" w:hAnsi="Times New Roman" w:cs="Times New Roman"/>
      <w:sz w:val="18"/>
      <w:szCs w:val="18"/>
      <w:lang w:val="bs-Latn-BA" w:eastAsia="bs-Latn-BA"/>
    </w:rPr>
  </w:style>
  <w:style w:type="paragraph" w:customStyle="1" w:styleId="xl71">
    <w:name w:val="xl71"/>
    <w:basedOn w:val="Normal"/>
    <w:rsid w:val="006C69B9"/>
    <w:pPr>
      <w:pBdr>
        <w:left w:val="single" w:sz="4" w:space="0" w:color="auto"/>
      </w:pBdr>
      <w:shd w:val="clear" w:color="000000" w:fill="215967"/>
      <w:spacing w:before="100" w:beforeAutospacing="1" w:after="100" w:afterAutospacing="1" w:line="240" w:lineRule="auto"/>
      <w:textAlignment w:val="center"/>
    </w:pPr>
    <w:rPr>
      <w:rFonts w:ascii="Times New Roman" w:eastAsia="Times New Roman" w:hAnsi="Times New Roman" w:cs="Times New Roman"/>
      <w:color w:val="FFFFFF"/>
      <w:sz w:val="20"/>
      <w:szCs w:val="20"/>
      <w:lang w:val="bs-Latn-BA" w:eastAsia="bs-Latn-BA"/>
    </w:rPr>
  </w:style>
  <w:style w:type="paragraph" w:customStyle="1" w:styleId="xl72">
    <w:name w:val="xl72"/>
    <w:basedOn w:val="Normal"/>
    <w:rsid w:val="006C69B9"/>
    <w:pPr>
      <w:pBdr>
        <w:top w:val="single" w:sz="4" w:space="0" w:color="auto"/>
        <w:left w:val="single" w:sz="4" w:space="0" w:color="auto"/>
        <w:right w:val="single" w:sz="4" w:space="0" w:color="auto"/>
      </w:pBdr>
      <w:shd w:val="clear" w:color="000000" w:fill="215967"/>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val="bs-Latn-BA" w:eastAsia="bs-Latn-BA"/>
    </w:rPr>
  </w:style>
  <w:style w:type="paragraph" w:customStyle="1" w:styleId="xl73">
    <w:name w:val="xl73"/>
    <w:basedOn w:val="Normal"/>
    <w:rsid w:val="006C69B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textAlignment w:val="center"/>
    </w:pPr>
    <w:rPr>
      <w:rFonts w:ascii="Calibri" w:eastAsia="Times New Roman" w:hAnsi="Calibri" w:cs="Calibri"/>
      <w:b/>
      <w:bCs/>
      <w:color w:val="FFFFFF"/>
      <w:sz w:val="20"/>
      <w:szCs w:val="20"/>
      <w:lang w:val="bs-Latn-BA" w:eastAsia="bs-Latn-BA"/>
    </w:rPr>
  </w:style>
  <w:style w:type="paragraph" w:customStyle="1" w:styleId="xl74">
    <w:name w:val="xl74"/>
    <w:basedOn w:val="Normal"/>
    <w:rsid w:val="006C69B9"/>
    <w:pPr>
      <w:pBdr>
        <w:top w:val="single" w:sz="4" w:space="0" w:color="auto"/>
        <w:left w:val="single" w:sz="4" w:space="18" w:color="auto"/>
        <w:bottom w:val="single" w:sz="4" w:space="0" w:color="auto"/>
        <w:right w:val="single" w:sz="4" w:space="0" w:color="auto"/>
      </w:pBdr>
      <w:shd w:val="clear" w:color="000000" w:fill="215967"/>
      <w:spacing w:before="100" w:beforeAutospacing="1" w:after="100" w:afterAutospacing="1" w:line="240" w:lineRule="auto"/>
      <w:ind w:firstLineChars="200" w:firstLine="200"/>
      <w:textAlignment w:val="center"/>
    </w:pPr>
    <w:rPr>
      <w:rFonts w:ascii="Times New Roman" w:eastAsia="Times New Roman" w:hAnsi="Times New Roman" w:cs="Times New Roman"/>
      <w:color w:val="FFFFFF"/>
      <w:sz w:val="20"/>
      <w:szCs w:val="20"/>
      <w:lang w:val="bs-Latn-BA" w:eastAsia="bs-Latn-BA"/>
    </w:rPr>
  </w:style>
  <w:style w:type="paragraph" w:customStyle="1" w:styleId="xl75">
    <w:name w:val="xl75"/>
    <w:basedOn w:val="Normal"/>
    <w:rsid w:val="006C69B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both"/>
      <w:textAlignment w:val="center"/>
    </w:pPr>
    <w:rPr>
      <w:rFonts w:ascii="Calibri" w:eastAsia="Times New Roman" w:hAnsi="Calibri" w:cs="Calibri"/>
      <w:b/>
      <w:bCs/>
      <w:color w:val="FFFFFF"/>
      <w:sz w:val="20"/>
      <w:szCs w:val="20"/>
      <w:lang w:val="bs-Latn-BA" w:eastAsia="bs-Latn-BA"/>
    </w:rPr>
  </w:style>
  <w:style w:type="paragraph" w:customStyle="1" w:styleId="xl76">
    <w:name w:val="xl76"/>
    <w:basedOn w:val="Normal"/>
    <w:rsid w:val="006C69B9"/>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both"/>
      <w:textAlignment w:val="center"/>
    </w:pPr>
    <w:rPr>
      <w:rFonts w:ascii="Calibri" w:eastAsia="Times New Roman" w:hAnsi="Calibri" w:cs="Calibri"/>
      <w:b/>
      <w:bCs/>
      <w:color w:val="FFFFFF"/>
      <w:sz w:val="20"/>
      <w:szCs w:val="20"/>
      <w:lang w:val="bs-Latn-BA" w:eastAsia="bs-Latn-BA"/>
    </w:rPr>
  </w:style>
  <w:style w:type="paragraph" w:customStyle="1" w:styleId="xl77">
    <w:name w:val="xl77"/>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78">
    <w:name w:val="xl78"/>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Calibri" w:eastAsia="Times New Roman" w:hAnsi="Calibri" w:cs="Calibri"/>
      <w:sz w:val="20"/>
      <w:szCs w:val="20"/>
      <w:lang w:val="bs-Latn-BA" w:eastAsia="bs-Latn-BA"/>
    </w:rPr>
  </w:style>
  <w:style w:type="paragraph" w:customStyle="1" w:styleId="xl79">
    <w:name w:val="xl79"/>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80">
    <w:name w:val="xl80"/>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81">
    <w:name w:val="xl81"/>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82">
    <w:name w:val="xl82"/>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83">
    <w:name w:val="xl83"/>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84">
    <w:name w:val="xl84"/>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85">
    <w:name w:val="xl85"/>
    <w:basedOn w:val="Normal"/>
    <w:rsid w:val="006C69B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86">
    <w:name w:val="xl86"/>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87">
    <w:name w:val="xl87"/>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88">
    <w:name w:val="xl88"/>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color w:val="000000"/>
      <w:sz w:val="20"/>
      <w:szCs w:val="20"/>
      <w:lang w:val="bs-Latn-BA" w:eastAsia="bs-Latn-BA"/>
    </w:rPr>
  </w:style>
  <w:style w:type="paragraph" w:customStyle="1" w:styleId="xl89">
    <w:name w:val="xl89"/>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val="bs-Latn-BA" w:eastAsia="bs-Latn-BA"/>
    </w:rPr>
  </w:style>
  <w:style w:type="paragraph" w:customStyle="1" w:styleId="xl90">
    <w:name w:val="xl90"/>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color w:val="000000"/>
      <w:sz w:val="20"/>
      <w:szCs w:val="20"/>
      <w:lang w:val="bs-Latn-BA" w:eastAsia="bs-Latn-BA"/>
    </w:rPr>
  </w:style>
  <w:style w:type="paragraph" w:customStyle="1" w:styleId="xl91">
    <w:name w:val="xl91"/>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lang w:val="bs-Latn-BA" w:eastAsia="bs-Latn-BA"/>
    </w:rPr>
  </w:style>
  <w:style w:type="paragraph" w:customStyle="1" w:styleId="xl92">
    <w:name w:val="xl92"/>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93">
    <w:name w:val="xl93"/>
    <w:basedOn w:val="Normal"/>
    <w:rsid w:val="006C69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94">
    <w:name w:val="xl94"/>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95">
    <w:name w:val="xl95"/>
    <w:basedOn w:val="Normal"/>
    <w:rsid w:val="006C69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96">
    <w:name w:val="xl96"/>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97">
    <w:name w:val="xl97"/>
    <w:basedOn w:val="Normal"/>
    <w:rsid w:val="006C69B9"/>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center"/>
    </w:pPr>
    <w:rPr>
      <w:rFonts w:ascii="Calibri" w:eastAsia="Times New Roman" w:hAnsi="Calibri" w:cs="Calibri"/>
      <w:b/>
      <w:bCs/>
      <w:color w:val="FFFFFF"/>
      <w:sz w:val="20"/>
      <w:szCs w:val="20"/>
      <w:lang w:val="bs-Latn-BA" w:eastAsia="bs-Latn-BA"/>
    </w:rPr>
  </w:style>
  <w:style w:type="paragraph" w:customStyle="1" w:styleId="xl98">
    <w:name w:val="xl98"/>
    <w:basedOn w:val="Normal"/>
    <w:rsid w:val="006C69B9"/>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center"/>
    </w:pPr>
    <w:rPr>
      <w:rFonts w:ascii="Calibri" w:eastAsia="Times New Roman" w:hAnsi="Calibri" w:cs="Calibri"/>
      <w:color w:val="FFFFFF"/>
      <w:sz w:val="20"/>
      <w:szCs w:val="20"/>
      <w:lang w:val="bs-Latn-BA" w:eastAsia="bs-Latn-BA"/>
    </w:rPr>
  </w:style>
  <w:style w:type="paragraph" w:customStyle="1" w:styleId="xl99">
    <w:name w:val="xl99"/>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00">
    <w:name w:val="xl100"/>
    <w:basedOn w:val="Normal"/>
    <w:rsid w:val="006C69B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pPr>
    <w:rPr>
      <w:rFonts w:ascii="Calibri" w:eastAsia="Times New Roman" w:hAnsi="Calibri" w:cs="Calibri"/>
      <w:b/>
      <w:bCs/>
      <w:color w:val="FFFFFF"/>
      <w:sz w:val="20"/>
      <w:szCs w:val="20"/>
      <w:lang w:val="bs-Latn-BA" w:eastAsia="bs-Latn-BA"/>
    </w:rPr>
  </w:style>
  <w:style w:type="paragraph" w:customStyle="1" w:styleId="xl101">
    <w:name w:val="xl101"/>
    <w:basedOn w:val="Normal"/>
    <w:rsid w:val="006C69B9"/>
    <w:pPr>
      <w:pBdr>
        <w:top w:val="single" w:sz="4" w:space="0" w:color="auto"/>
        <w:left w:val="single" w:sz="4" w:space="0" w:color="auto"/>
        <w:right w:val="single" w:sz="4" w:space="0" w:color="auto"/>
      </w:pBdr>
      <w:shd w:val="clear" w:color="000000" w:fill="215967"/>
      <w:spacing w:before="100" w:beforeAutospacing="1" w:after="100" w:afterAutospacing="1" w:line="240" w:lineRule="auto"/>
      <w:jc w:val="center"/>
    </w:pPr>
    <w:rPr>
      <w:rFonts w:ascii="Times New Roman" w:eastAsia="Times New Roman" w:hAnsi="Times New Roman" w:cs="Times New Roman"/>
      <w:color w:val="FFFFFF"/>
      <w:sz w:val="20"/>
      <w:szCs w:val="20"/>
      <w:lang w:val="bs-Latn-BA" w:eastAsia="bs-Latn-BA"/>
    </w:rPr>
  </w:style>
  <w:style w:type="paragraph" w:customStyle="1" w:styleId="xl102">
    <w:name w:val="xl102"/>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03">
    <w:name w:val="xl103"/>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04">
    <w:name w:val="xl104"/>
    <w:basedOn w:val="Normal"/>
    <w:rsid w:val="006C69B9"/>
    <w:pP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105">
    <w:name w:val="xl105"/>
    <w:basedOn w:val="Normal"/>
    <w:rsid w:val="006C69B9"/>
    <w:pPr>
      <w:pBdr>
        <w:top w:val="single" w:sz="4" w:space="0" w:color="auto"/>
        <w:left w:val="single" w:sz="4" w:space="0" w:color="auto"/>
        <w:right w:val="single" w:sz="4" w:space="0" w:color="auto"/>
      </w:pBdr>
      <w:shd w:val="clear" w:color="000000" w:fill="215967"/>
      <w:spacing w:before="100" w:beforeAutospacing="1" w:after="100" w:afterAutospacing="1" w:line="240" w:lineRule="auto"/>
      <w:textAlignment w:val="center"/>
    </w:pPr>
    <w:rPr>
      <w:rFonts w:ascii="Times New Roman" w:eastAsia="Times New Roman" w:hAnsi="Times New Roman" w:cs="Times New Roman"/>
      <w:color w:val="FFFFFF"/>
      <w:sz w:val="20"/>
      <w:szCs w:val="20"/>
      <w:lang w:val="bs-Latn-BA" w:eastAsia="bs-Latn-BA"/>
    </w:rPr>
  </w:style>
  <w:style w:type="paragraph" w:customStyle="1" w:styleId="xl106">
    <w:name w:val="xl106"/>
    <w:basedOn w:val="Normal"/>
    <w:rsid w:val="006C69B9"/>
    <w:pPr>
      <w:pBdr>
        <w:top w:val="single" w:sz="4" w:space="0" w:color="auto"/>
        <w:left w:val="single" w:sz="4" w:space="0" w:color="auto"/>
      </w:pBdr>
      <w:shd w:val="clear" w:color="000000" w:fill="215967"/>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val="bs-Latn-BA" w:eastAsia="bs-Latn-BA"/>
    </w:rPr>
  </w:style>
  <w:style w:type="paragraph" w:customStyle="1" w:styleId="xl107">
    <w:name w:val="xl107"/>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08">
    <w:name w:val="xl108"/>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09">
    <w:name w:val="xl109"/>
    <w:basedOn w:val="Normal"/>
    <w:rsid w:val="006C69B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Calibri" w:eastAsia="Times New Roman" w:hAnsi="Calibri" w:cs="Calibri"/>
      <w:sz w:val="20"/>
      <w:szCs w:val="20"/>
      <w:lang w:val="bs-Latn-BA" w:eastAsia="bs-Latn-BA"/>
    </w:rPr>
  </w:style>
  <w:style w:type="paragraph" w:customStyle="1" w:styleId="xl110">
    <w:name w:val="xl110"/>
    <w:basedOn w:val="Normal"/>
    <w:rsid w:val="006C69B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11">
    <w:name w:val="xl111"/>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12">
    <w:name w:val="xl112"/>
    <w:basedOn w:val="Normal"/>
    <w:rsid w:val="006C69B9"/>
    <w:pPr>
      <w:shd w:val="clear" w:color="000000" w:fill="92CDDC"/>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113">
    <w:name w:val="xl113"/>
    <w:basedOn w:val="Normal"/>
    <w:rsid w:val="006C69B9"/>
    <w:pPr>
      <w:pBdr>
        <w:left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14">
    <w:name w:val="xl114"/>
    <w:basedOn w:val="Normal"/>
    <w:rsid w:val="006C69B9"/>
    <w:pPr>
      <w:shd w:val="clear" w:color="000000" w:fill="92CDDC"/>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115">
    <w:name w:val="xl115"/>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16">
    <w:name w:val="xl116"/>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17">
    <w:name w:val="xl117"/>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118">
    <w:name w:val="xl118"/>
    <w:basedOn w:val="Normal"/>
    <w:rsid w:val="006C69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19">
    <w:name w:val="xl119"/>
    <w:basedOn w:val="Normal"/>
    <w:rsid w:val="006C69B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20">
    <w:name w:val="xl120"/>
    <w:basedOn w:val="Normal"/>
    <w:rsid w:val="006C69B9"/>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21">
    <w:name w:val="xl121"/>
    <w:basedOn w:val="Normal"/>
    <w:rsid w:val="006C69B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22">
    <w:name w:val="xl122"/>
    <w:basedOn w:val="Normal"/>
    <w:rsid w:val="006C69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23">
    <w:name w:val="xl123"/>
    <w:basedOn w:val="Normal"/>
    <w:rsid w:val="006C69B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24">
    <w:name w:val="xl124"/>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25">
    <w:name w:val="xl125"/>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26">
    <w:name w:val="xl126"/>
    <w:basedOn w:val="Normal"/>
    <w:rsid w:val="006C69B9"/>
    <w:pPr>
      <w:shd w:val="clear" w:color="000000" w:fill="92CDDC"/>
      <w:spacing w:before="100" w:beforeAutospacing="1" w:after="100" w:afterAutospacing="1" w:line="240" w:lineRule="auto"/>
      <w:textAlignment w:val="center"/>
    </w:pPr>
    <w:rPr>
      <w:rFonts w:ascii="Calibri Light" w:eastAsia="Times New Roman" w:hAnsi="Calibri Light" w:cs="Calibri Light"/>
      <w:sz w:val="20"/>
      <w:szCs w:val="20"/>
      <w:lang w:val="bs-Latn-BA" w:eastAsia="bs-Latn-BA"/>
    </w:rPr>
  </w:style>
  <w:style w:type="paragraph" w:customStyle="1" w:styleId="xl127">
    <w:name w:val="xl127"/>
    <w:basedOn w:val="Normal"/>
    <w:rsid w:val="006C69B9"/>
    <w:pPr>
      <w:shd w:val="clear" w:color="000000" w:fill="92CDDC"/>
      <w:spacing w:before="100" w:beforeAutospacing="1" w:after="100" w:afterAutospacing="1" w:line="240" w:lineRule="auto"/>
      <w:jc w:val="center"/>
    </w:pPr>
    <w:rPr>
      <w:rFonts w:ascii="Calibri Light" w:eastAsia="Times New Roman" w:hAnsi="Calibri Light" w:cs="Calibri Light"/>
      <w:sz w:val="20"/>
      <w:szCs w:val="20"/>
      <w:lang w:val="bs-Latn-BA" w:eastAsia="bs-Latn-BA"/>
    </w:rPr>
  </w:style>
  <w:style w:type="paragraph" w:customStyle="1" w:styleId="xl128">
    <w:name w:val="xl128"/>
    <w:basedOn w:val="Normal"/>
    <w:rsid w:val="006C69B9"/>
    <w:pPr>
      <w:shd w:val="clear" w:color="000000" w:fill="92CDDC"/>
      <w:spacing w:before="100" w:beforeAutospacing="1" w:after="100" w:afterAutospacing="1" w:line="240" w:lineRule="auto"/>
    </w:pPr>
    <w:rPr>
      <w:rFonts w:ascii="Calibri Light" w:eastAsia="Times New Roman" w:hAnsi="Calibri Light" w:cs="Calibri Light"/>
      <w:sz w:val="20"/>
      <w:szCs w:val="20"/>
      <w:lang w:val="bs-Latn-BA" w:eastAsia="bs-Latn-BA"/>
    </w:rPr>
  </w:style>
  <w:style w:type="paragraph" w:customStyle="1" w:styleId="xl129">
    <w:name w:val="xl129"/>
    <w:basedOn w:val="Normal"/>
    <w:rsid w:val="006C69B9"/>
    <w:pPr>
      <w:spacing w:before="100" w:beforeAutospacing="1" w:after="100" w:afterAutospacing="1" w:line="240" w:lineRule="auto"/>
      <w:textAlignment w:val="center"/>
    </w:pPr>
    <w:rPr>
      <w:rFonts w:ascii="Calibri" w:eastAsia="Times New Roman" w:hAnsi="Calibri" w:cs="Calibri"/>
      <w:color w:val="000000"/>
      <w:sz w:val="20"/>
      <w:szCs w:val="20"/>
      <w:lang w:val="bs-Latn-BA" w:eastAsia="bs-Latn-BA"/>
    </w:rPr>
  </w:style>
  <w:style w:type="paragraph" w:customStyle="1" w:styleId="xl130">
    <w:name w:val="xl130"/>
    <w:basedOn w:val="Normal"/>
    <w:rsid w:val="006C69B9"/>
    <w:pPr>
      <w:pBdr>
        <w:top w:val="single" w:sz="4" w:space="0" w:color="auto"/>
        <w:lef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31">
    <w:name w:val="xl131"/>
    <w:basedOn w:val="Normal"/>
    <w:rsid w:val="006C69B9"/>
    <w:pPr>
      <w:pBdr>
        <w:top w:val="single" w:sz="4" w:space="0" w:color="auto"/>
        <w:left w:val="single" w:sz="4" w:space="0" w:color="auto"/>
        <w:bottom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32">
    <w:name w:val="xl132"/>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33">
    <w:name w:val="xl133"/>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Light" w:eastAsia="Times New Roman" w:hAnsi="Calibri Light" w:cs="Calibri Light"/>
      <w:color w:val="000000"/>
      <w:sz w:val="20"/>
      <w:szCs w:val="20"/>
      <w:lang w:val="bs-Latn-BA" w:eastAsia="bs-Latn-BA"/>
    </w:rPr>
  </w:style>
  <w:style w:type="paragraph" w:customStyle="1" w:styleId="xl134">
    <w:name w:val="xl134"/>
    <w:basedOn w:val="Normal"/>
    <w:rsid w:val="006C69B9"/>
    <w:pP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135">
    <w:name w:val="xl135"/>
    <w:basedOn w:val="Normal"/>
    <w:rsid w:val="006C69B9"/>
    <w:pP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36">
    <w:name w:val="xl136"/>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37">
    <w:name w:val="xl137"/>
    <w:basedOn w:val="Normal"/>
    <w:rsid w:val="006C69B9"/>
    <w:pPr>
      <w:pBdr>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38">
    <w:name w:val="xl138"/>
    <w:basedOn w:val="Normal"/>
    <w:rsid w:val="006C69B9"/>
    <w:pPr>
      <w:pBdr>
        <w:left w:val="single" w:sz="4" w:space="0" w:color="auto"/>
        <w:bottom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39">
    <w:name w:val="xl139"/>
    <w:basedOn w:val="Normal"/>
    <w:rsid w:val="006C69B9"/>
    <w:pPr>
      <w:pBdr>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40">
    <w:name w:val="xl140"/>
    <w:basedOn w:val="Normal"/>
    <w:rsid w:val="006C69B9"/>
    <w:pPr>
      <w:pBdr>
        <w:left w:val="single" w:sz="4" w:space="0" w:color="auto"/>
        <w:bottom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41">
    <w:name w:val="xl141"/>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color w:val="FF0000"/>
      <w:sz w:val="20"/>
      <w:szCs w:val="20"/>
      <w:lang w:val="bs-Latn-BA" w:eastAsia="bs-Latn-BA"/>
    </w:rPr>
  </w:style>
  <w:style w:type="paragraph" w:customStyle="1" w:styleId="xl142">
    <w:name w:val="xl142"/>
    <w:basedOn w:val="Normal"/>
    <w:rsid w:val="006C69B9"/>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43">
    <w:name w:val="xl143"/>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bs-Latn-BA" w:eastAsia="bs-Latn-BA"/>
    </w:rPr>
  </w:style>
  <w:style w:type="paragraph" w:customStyle="1" w:styleId="xl144">
    <w:name w:val="xl144"/>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bs-Latn-BA" w:eastAsia="bs-Latn-BA"/>
    </w:rPr>
  </w:style>
  <w:style w:type="paragraph" w:customStyle="1" w:styleId="xl145">
    <w:name w:val="xl145"/>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46">
    <w:name w:val="xl146"/>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47">
    <w:name w:val="xl147"/>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48">
    <w:name w:val="xl148"/>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bs-Latn-BA" w:eastAsia="bs-Latn-BA"/>
    </w:rPr>
  </w:style>
  <w:style w:type="paragraph" w:customStyle="1" w:styleId="xl149">
    <w:name w:val="xl149"/>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bs-Latn-BA" w:eastAsia="bs-Latn-BA"/>
    </w:rPr>
  </w:style>
  <w:style w:type="paragraph" w:customStyle="1" w:styleId="xl150">
    <w:name w:val="xl150"/>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51">
    <w:name w:val="xl151"/>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2">
    <w:name w:val="xl152"/>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3">
    <w:name w:val="xl153"/>
    <w:basedOn w:val="Normal"/>
    <w:rsid w:val="006C69B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4">
    <w:name w:val="xl154"/>
    <w:basedOn w:val="Normal"/>
    <w:rsid w:val="006C69B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5">
    <w:name w:val="xl155"/>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6">
    <w:name w:val="xl156"/>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7">
    <w:name w:val="xl157"/>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8">
    <w:name w:val="xl158"/>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59">
    <w:name w:val="xl159"/>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0">
    <w:name w:val="xl160"/>
    <w:basedOn w:val="Normal"/>
    <w:rsid w:val="006C69B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1">
    <w:name w:val="xl161"/>
    <w:basedOn w:val="Normal"/>
    <w:rsid w:val="006C69B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2">
    <w:name w:val="xl162"/>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color w:val="000000"/>
      <w:sz w:val="20"/>
      <w:szCs w:val="20"/>
      <w:lang w:val="bs-Latn-BA" w:eastAsia="bs-Latn-BA"/>
    </w:rPr>
  </w:style>
  <w:style w:type="paragraph" w:customStyle="1" w:styleId="xl163">
    <w:name w:val="xl163"/>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4">
    <w:name w:val="xl164"/>
    <w:basedOn w:val="Normal"/>
    <w:rsid w:val="006C69B9"/>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5">
    <w:name w:val="xl165"/>
    <w:basedOn w:val="Normal"/>
    <w:rsid w:val="006C69B9"/>
    <w:pPr>
      <w:pBdr>
        <w:left w:val="single" w:sz="4" w:space="0" w:color="auto"/>
        <w:right w:val="single" w:sz="4" w:space="0" w:color="auto"/>
      </w:pBdr>
      <w:shd w:val="clear" w:color="000000" w:fill="215967"/>
      <w:spacing w:before="100" w:beforeAutospacing="1" w:after="100" w:afterAutospacing="1" w:line="240" w:lineRule="auto"/>
      <w:jc w:val="center"/>
    </w:pPr>
    <w:rPr>
      <w:rFonts w:ascii="Times New Roman" w:eastAsia="Times New Roman" w:hAnsi="Times New Roman" w:cs="Times New Roman"/>
      <w:color w:val="FFFFFF"/>
      <w:sz w:val="20"/>
      <w:szCs w:val="20"/>
      <w:lang w:val="bs-Latn-BA" w:eastAsia="bs-Latn-BA"/>
    </w:rPr>
  </w:style>
  <w:style w:type="paragraph" w:customStyle="1" w:styleId="xl166">
    <w:name w:val="xl166"/>
    <w:basedOn w:val="Normal"/>
    <w:rsid w:val="006C69B9"/>
    <w:pPr>
      <w:pBdr>
        <w:top w:val="single" w:sz="4" w:space="0" w:color="auto"/>
        <w:lef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7">
    <w:name w:val="xl167"/>
    <w:basedOn w:val="Normal"/>
    <w:rsid w:val="006C69B9"/>
    <w:pPr>
      <w:pBdr>
        <w:lef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8">
    <w:name w:val="xl168"/>
    <w:basedOn w:val="Normal"/>
    <w:rsid w:val="006C69B9"/>
    <w:pPr>
      <w:pBdr>
        <w:lef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69">
    <w:name w:val="xl169"/>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70">
    <w:name w:val="xl170"/>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71">
    <w:name w:val="xl171"/>
    <w:basedOn w:val="Normal"/>
    <w:rsid w:val="006C69B9"/>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72">
    <w:name w:val="xl172"/>
    <w:basedOn w:val="Normal"/>
    <w:rsid w:val="006C69B9"/>
    <w:pPr>
      <w:pBdr>
        <w:top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73">
    <w:name w:val="xl173"/>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74">
    <w:name w:val="xl174"/>
    <w:basedOn w:val="Normal"/>
    <w:rsid w:val="006C69B9"/>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center"/>
    </w:pPr>
    <w:rPr>
      <w:rFonts w:ascii="Calibri" w:eastAsia="Times New Roman" w:hAnsi="Calibri" w:cs="Calibri"/>
      <w:color w:val="FFFFFF"/>
      <w:sz w:val="20"/>
      <w:szCs w:val="20"/>
      <w:lang w:val="bs-Latn-BA" w:eastAsia="bs-Latn-BA"/>
    </w:rPr>
  </w:style>
  <w:style w:type="paragraph" w:customStyle="1" w:styleId="xl175">
    <w:name w:val="xl175"/>
    <w:basedOn w:val="Normal"/>
    <w:rsid w:val="006C69B9"/>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center"/>
    </w:pPr>
    <w:rPr>
      <w:rFonts w:ascii="Calibri" w:eastAsia="Times New Roman" w:hAnsi="Calibri" w:cs="Calibri"/>
      <w:b/>
      <w:bCs/>
      <w:color w:val="FFFFFF"/>
      <w:sz w:val="20"/>
      <w:szCs w:val="20"/>
      <w:lang w:val="bs-Latn-BA" w:eastAsia="bs-Latn-BA"/>
    </w:rPr>
  </w:style>
  <w:style w:type="paragraph" w:customStyle="1" w:styleId="xl176">
    <w:name w:val="xl176"/>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77">
    <w:name w:val="xl177"/>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78">
    <w:name w:val="xl178"/>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79">
    <w:name w:val="xl179"/>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80">
    <w:name w:val="xl180"/>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81">
    <w:name w:val="xl181"/>
    <w:basedOn w:val="Normal"/>
    <w:rsid w:val="006C69B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pPr>
    <w:rPr>
      <w:rFonts w:ascii="Calibri" w:eastAsia="Times New Roman" w:hAnsi="Calibri" w:cs="Calibri"/>
      <w:color w:val="FFFFFF"/>
      <w:sz w:val="20"/>
      <w:szCs w:val="20"/>
      <w:lang w:val="bs-Latn-BA" w:eastAsia="bs-Latn-BA"/>
    </w:rPr>
  </w:style>
  <w:style w:type="paragraph" w:customStyle="1" w:styleId="xl182">
    <w:name w:val="xl182"/>
    <w:basedOn w:val="Normal"/>
    <w:rsid w:val="006C69B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pPr>
    <w:rPr>
      <w:rFonts w:ascii="Calibri" w:eastAsia="Times New Roman" w:hAnsi="Calibri" w:cs="Calibri"/>
      <w:color w:val="FFFFFF"/>
      <w:sz w:val="20"/>
      <w:szCs w:val="20"/>
      <w:lang w:val="bs-Latn-BA" w:eastAsia="bs-Latn-BA"/>
    </w:rPr>
  </w:style>
  <w:style w:type="paragraph" w:customStyle="1" w:styleId="xl183">
    <w:name w:val="xl183"/>
    <w:basedOn w:val="Normal"/>
    <w:rsid w:val="006C69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84">
    <w:name w:val="xl184"/>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85">
    <w:name w:val="xl185"/>
    <w:basedOn w:val="Normal"/>
    <w:rsid w:val="006C69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86">
    <w:name w:val="xl186"/>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87">
    <w:name w:val="xl187"/>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88">
    <w:name w:val="xl188"/>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89">
    <w:name w:val="xl189"/>
    <w:basedOn w:val="Normal"/>
    <w:rsid w:val="006C69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bs-Latn-BA" w:eastAsia="bs-Latn-BA"/>
    </w:rPr>
  </w:style>
  <w:style w:type="paragraph" w:customStyle="1" w:styleId="xl190">
    <w:name w:val="xl190"/>
    <w:basedOn w:val="Normal"/>
    <w:rsid w:val="006C69B9"/>
    <w:pPr>
      <w:pBdr>
        <w:top w:val="single" w:sz="4" w:space="0" w:color="auto"/>
        <w:left w:val="single" w:sz="4" w:space="0" w:color="auto"/>
        <w:right w:val="single" w:sz="4" w:space="0" w:color="auto"/>
      </w:pBdr>
      <w:shd w:val="clear" w:color="000000" w:fill="215967"/>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val="bs-Latn-BA" w:eastAsia="bs-Latn-BA"/>
    </w:rPr>
  </w:style>
  <w:style w:type="paragraph" w:customStyle="1" w:styleId="xl191">
    <w:name w:val="xl191"/>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FF0000"/>
      <w:sz w:val="20"/>
      <w:szCs w:val="20"/>
      <w:lang w:val="bs-Latn-BA" w:eastAsia="bs-Latn-BA"/>
    </w:rPr>
  </w:style>
  <w:style w:type="paragraph" w:customStyle="1" w:styleId="xl192">
    <w:name w:val="xl192"/>
    <w:basedOn w:val="Normal"/>
    <w:rsid w:val="006C69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sz w:val="20"/>
      <w:szCs w:val="20"/>
      <w:lang w:val="bs-Latn-BA" w:eastAsia="bs-Latn-BA"/>
    </w:rPr>
  </w:style>
  <w:style w:type="paragraph" w:customStyle="1" w:styleId="xl193">
    <w:name w:val="xl193"/>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val="bs-Latn-BA" w:eastAsia="bs-Latn-BA"/>
    </w:rPr>
  </w:style>
  <w:style w:type="paragraph" w:customStyle="1" w:styleId="xl194">
    <w:name w:val="xl194"/>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val="bs-Latn-BA" w:eastAsia="bs-Latn-BA"/>
    </w:rPr>
  </w:style>
  <w:style w:type="paragraph" w:customStyle="1" w:styleId="xl195">
    <w:name w:val="xl195"/>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bs-Latn-BA" w:eastAsia="bs-Latn-BA"/>
    </w:rPr>
  </w:style>
  <w:style w:type="paragraph" w:customStyle="1" w:styleId="xl196">
    <w:name w:val="xl196"/>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20"/>
      <w:szCs w:val="20"/>
      <w:lang w:val="bs-Latn-BA" w:eastAsia="bs-Latn-BA"/>
    </w:rPr>
  </w:style>
  <w:style w:type="paragraph" w:customStyle="1" w:styleId="xl197">
    <w:name w:val="xl197"/>
    <w:basedOn w:val="Normal"/>
    <w:rsid w:val="006C69B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198">
    <w:name w:val="xl198"/>
    <w:basedOn w:val="Normal"/>
    <w:rsid w:val="006C69B9"/>
    <w:pPr>
      <w:pBdr>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199">
    <w:name w:val="xl199"/>
    <w:basedOn w:val="Normal"/>
    <w:rsid w:val="006C69B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Calibri" w:eastAsia="Times New Roman" w:hAnsi="Calibri" w:cs="Calibri"/>
      <w:sz w:val="20"/>
      <w:szCs w:val="20"/>
      <w:lang w:val="bs-Latn-BA" w:eastAsia="bs-Latn-BA"/>
    </w:rPr>
  </w:style>
  <w:style w:type="paragraph" w:customStyle="1" w:styleId="xl200">
    <w:name w:val="xl200"/>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20"/>
      <w:szCs w:val="20"/>
      <w:lang w:val="bs-Latn-BA" w:eastAsia="bs-Latn-BA"/>
    </w:rPr>
  </w:style>
  <w:style w:type="paragraph" w:customStyle="1" w:styleId="xl201">
    <w:name w:val="xl201"/>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20"/>
      <w:szCs w:val="20"/>
      <w:lang w:val="bs-Latn-BA" w:eastAsia="bs-Latn-BA"/>
    </w:rPr>
  </w:style>
  <w:style w:type="paragraph" w:customStyle="1" w:styleId="xl202">
    <w:name w:val="xl202"/>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val="bs-Latn-BA" w:eastAsia="bs-Latn-BA"/>
    </w:rPr>
  </w:style>
  <w:style w:type="paragraph" w:customStyle="1" w:styleId="xl203">
    <w:name w:val="xl203"/>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FF0000"/>
      <w:sz w:val="20"/>
      <w:szCs w:val="20"/>
      <w:lang w:val="bs-Latn-BA" w:eastAsia="bs-Latn-BA"/>
    </w:rPr>
  </w:style>
  <w:style w:type="paragraph" w:customStyle="1" w:styleId="xl204">
    <w:name w:val="xl204"/>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0"/>
      <w:szCs w:val="20"/>
      <w:lang w:val="bs-Latn-BA" w:eastAsia="bs-Latn-BA"/>
    </w:rPr>
  </w:style>
  <w:style w:type="paragraph" w:customStyle="1" w:styleId="xl205">
    <w:name w:val="xl205"/>
    <w:basedOn w:val="Normal"/>
    <w:rsid w:val="006C69B9"/>
    <w:pPr>
      <w:shd w:val="clear" w:color="000000" w:fill="92CDDC"/>
      <w:spacing w:before="100" w:beforeAutospacing="1" w:after="100" w:afterAutospacing="1" w:line="240" w:lineRule="auto"/>
      <w:jc w:val="center"/>
      <w:textAlignment w:val="center"/>
    </w:pPr>
    <w:rPr>
      <w:rFonts w:ascii="Calibri" w:eastAsia="Times New Roman" w:hAnsi="Calibri" w:cs="Calibri"/>
      <w:color w:val="FF0000"/>
      <w:sz w:val="20"/>
      <w:szCs w:val="20"/>
      <w:lang w:val="bs-Latn-BA" w:eastAsia="bs-Latn-BA"/>
    </w:rPr>
  </w:style>
  <w:style w:type="paragraph" w:customStyle="1" w:styleId="xl206">
    <w:name w:val="xl206"/>
    <w:basedOn w:val="Normal"/>
    <w:rsid w:val="006C69B9"/>
    <w:pPr>
      <w:pBdr>
        <w:left w:val="single" w:sz="4" w:space="0" w:color="auto"/>
      </w:pBdr>
      <w:shd w:val="clear" w:color="000000" w:fill="92CDDC"/>
      <w:spacing w:before="100" w:beforeAutospacing="1" w:after="100" w:afterAutospacing="1" w:line="240" w:lineRule="auto"/>
      <w:jc w:val="center"/>
    </w:pPr>
    <w:rPr>
      <w:rFonts w:ascii="Calibri" w:eastAsia="Times New Roman" w:hAnsi="Calibri" w:cs="Calibri"/>
      <w:color w:val="FF0000"/>
      <w:sz w:val="20"/>
      <w:szCs w:val="20"/>
      <w:lang w:val="bs-Latn-BA" w:eastAsia="bs-Latn-BA"/>
    </w:rPr>
  </w:style>
  <w:style w:type="paragraph" w:customStyle="1" w:styleId="xl207">
    <w:name w:val="xl207"/>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0"/>
      <w:szCs w:val="20"/>
      <w:lang w:val="bs-Latn-BA" w:eastAsia="bs-Latn-BA"/>
    </w:rPr>
  </w:style>
  <w:style w:type="paragraph" w:customStyle="1" w:styleId="xl208">
    <w:name w:val="xl208"/>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val="bs-Latn-BA" w:eastAsia="bs-Latn-BA"/>
    </w:rPr>
  </w:style>
  <w:style w:type="paragraph" w:customStyle="1" w:styleId="xl209">
    <w:name w:val="xl209"/>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color w:val="FF0000"/>
      <w:sz w:val="20"/>
      <w:szCs w:val="20"/>
      <w:lang w:val="bs-Latn-BA" w:eastAsia="bs-Latn-BA"/>
    </w:rPr>
  </w:style>
  <w:style w:type="paragraph" w:customStyle="1" w:styleId="xl210">
    <w:name w:val="xl210"/>
    <w:basedOn w:val="Normal"/>
    <w:rsid w:val="006C69B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11">
    <w:name w:val="xl211"/>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24"/>
      <w:szCs w:val="24"/>
      <w:lang w:val="bs-Latn-BA" w:eastAsia="bs-Latn-BA"/>
    </w:rPr>
  </w:style>
  <w:style w:type="paragraph" w:customStyle="1" w:styleId="xl212">
    <w:name w:val="xl212"/>
    <w:basedOn w:val="Normal"/>
    <w:rsid w:val="006C69B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Calibri"/>
      <w:sz w:val="24"/>
      <w:szCs w:val="24"/>
      <w:lang w:val="bs-Latn-BA" w:eastAsia="bs-Latn-BA"/>
    </w:rPr>
  </w:style>
  <w:style w:type="paragraph" w:customStyle="1" w:styleId="xl213">
    <w:name w:val="xl213"/>
    <w:basedOn w:val="Normal"/>
    <w:rsid w:val="006C69B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14">
    <w:name w:val="xl214"/>
    <w:basedOn w:val="Normal"/>
    <w:rsid w:val="006C69B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15">
    <w:name w:val="xl215"/>
    <w:basedOn w:val="Normal"/>
    <w:rsid w:val="006C69B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16">
    <w:name w:val="xl216"/>
    <w:basedOn w:val="Normal"/>
    <w:rsid w:val="006C69B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17">
    <w:name w:val="xl217"/>
    <w:basedOn w:val="Normal"/>
    <w:rsid w:val="006C69B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bs-Latn-BA" w:eastAsia="bs-Latn-BA"/>
    </w:rPr>
  </w:style>
  <w:style w:type="paragraph" w:customStyle="1" w:styleId="xl218">
    <w:name w:val="xl218"/>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219">
    <w:name w:val="xl219"/>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Calibri" w:eastAsia="Times New Roman" w:hAnsi="Calibri" w:cs="Calibri"/>
      <w:sz w:val="18"/>
      <w:szCs w:val="18"/>
      <w:lang w:val="bs-Latn-BA" w:eastAsia="bs-Latn-BA"/>
    </w:rPr>
  </w:style>
  <w:style w:type="paragraph" w:customStyle="1" w:styleId="xl220">
    <w:name w:val="xl220"/>
    <w:basedOn w:val="Normal"/>
    <w:rsid w:val="006C69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20"/>
      <w:szCs w:val="20"/>
      <w:lang w:val="bs-Latn-BA" w:eastAsia="bs-Latn-BA"/>
    </w:rPr>
  </w:style>
  <w:style w:type="paragraph" w:customStyle="1" w:styleId="xl221">
    <w:name w:val="xl221"/>
    <w:basedOn w:val="Normal"/>
    <w:rsid w:val="006C69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val="bs-Latn-BA" w:eastAsia="bs-Latn-BA"/>
    </w:rPr>
  </w:style>
  <w:style w:type="paragraph" w:customStyle="1" w:styleId="xl222">
    <w:name w:val="xl222"/>
    <w:basedOn w:val="Normal"/>
    <w:rsid w:val="006C69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val="bs-Latn-BA" w:eastAsia="bs-Latn-BA"/>
    </w:rPr>
  </w:style>
  <w:style w:type="paragraph" w:customStyle="1" w:styleId="xl223">
    <w:name w:val="xl223"/>
    <w:basedOn w:val="Normal"/>
    <w:rsid w:val="006C69B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24"/>
      <w:szCs w:val="24"/>
      <w:lang w:val="bs-Latn-BA" w:eastAsia="bs-Latn-BA"/>
    </w:rPr>
  </w:style>
  <w:style w:type="paragraph" w:customStyle="1" w:styleId="xl224">
    <w:name w:val="xl224"/>
    <w:basedOn w:val="Normal"/>
    <w:rsid w:val="006C69B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Calibri" w:eastAsia="Times New Roman" w:hAnsi="Calibri" w:cs="Calibri"/>
      <w:sz w:val="18"/>
      <w:szCs w:val="18"/>
      <w:lang w:val="bs-Latn-BA" w:eastAsia="bs-Latn-BA"/>
    </w:rPr>
  </w:style>
  <w:style w:type="paragraph" w:customStyle="1" w:styleId="xl225">
    <w:name w:val="xl225"/>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Calibri" w:eastAsia="Times New Roman" w:hAnsi="Calibri" w:cs="Calibri"/>
      <w:sz w:val="18"/>
      <w:szCs w:val="18"/>
      <w:lang w:val="bs-Latn-BA" w:eastAsia="bs-Latn-BA"/>
    </w:rPr>
  </w:style>
  <w:style w:type="paragraph" w:customStyle="1" w:styleId="xl226">
    <w:name w:val="xl226"/>
    <w:basedOn w:val="Normal"/>
    <w:rsid w:val="006C69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27">
    <w:name w:val="xl227"/>
    <w:basedOn w:val="Normal"/>
    <w:rsid w:val="006C69B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28">
    <w:name w:val="xl228"/>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29">
    <w:name w:val="xl229"/>
    <w:basedOn w:val="Normal"/>
    <w:rsid w:val="006C69B9"/>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30">
    <w:name w:val="xl230"/>
    <w:basedOn w:val="Normal"/>
    <w:rsid w:val="006C69B9"/>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31">
    <w:name w:val="xl231"/>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bs-Latn-BA" w:eastAsia="bs-Latn-BA"/>
    </w:rPr>
  </w:style>
  <w:style w:type="paragraph" w:customStyle="1" w:styleId="xl232">
    <w:name w:val="xl232"/>
    <w:basedOn w:val="Normal"/>
    <w:rsid w:val="006C69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33">
    <w:name w:val="xl233"/>
    <w:basedOn w:val="Normal"/>
    <w:rsid w:val="006C69B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34">
    <w:name w:val="xl234"/>
    <w:basedOn w:val="Normal"/>
    <w:rsid w:val="006C69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35">
    <w:name w:val="xl235"/>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36">
    <w:name w:val="xl236"/>
    <w:basedOn w:val="Normal"/>
    <w:rsid w:val="006C69B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val="bs-Latn-BA" w:eastAsia="bs-Latn-BA"/>
    </w:rPr>
  </w:style>
  <w:style w:type="paragraph" w:customStyle="1" w:styleId="xl237">
    <w:name w:val="xl237"/>
    <w:basedOn w:val="Normal"/>
    <w:rsid w:val="006C69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38">
    <w:name w:val="xl238"/>
    <w:basedOn w:val="Normal"/>
    <w:rsid w:val="006C69B9"/>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39">
    <w:name w:val="xl239"/>
    <w:basedOn w:val="Normal"/>
    <w:rsid w:val="006C69B9"/>
    <w:pPr>
      <w:pBdr>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40">
    <w:name w:val="xl240"/>
    <w:basedOn w:val="Normal"/>
    <w:rsid w:val="006C69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41">
    <w:name w:val="xl241"/>
    <w:basedOn w:val="Normal"/>
    <w:rsid w:val="006C69B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bs-Latn-BA" w:eastAsia="bs-Latn-BA"/>
    </w:rPr>
  </w:style>
  <w:style w:type="paragraph" w:customStyle="1" w:styleId="xl242">
    <w:name w:val="xl242"/>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Calibri" w:eastAsia="Times New Roman" w:hAnsi="Calibri" w:cs="Calibri"/>
      <w:sz w:val="20"/>
      <w:szCs w:val="20"/>
      <w:lang w:val="bs-Latn-BA" w:eastAsia="bs-Latn-BA"/>
    </w:rPr>
  </w:style>
  <w:style w:type="paragraph" w:customStyle="1" w:styleId="xl243">
    <w:name w:val="xl243"/>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Calibri" w:eastAsia="Times New Roman" w:hAnsi="Calibri" w:cs="Calibri"/>
      <w:sz w:val="20"/>
      <w:szCs w:val="20"/>
      <w:lang w:val="bs-Latn-BA" w:eastAsia="bs-Latn-BA"/>
    </w:rPr>
  </w:style>
  <w:style w:type="paragraph" w:customStyle="1" w:styleId="xl244">
    <w:name w:val="xl244"/>
    <w:basedOn w:val="Normal"/>
    <w:rsid w:val="006C69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45">
    <w:name w:val="xl245"/>
    <w:basedOn w:val="Normal"/>
    <w:rsid w:val="006C69B9"/>
    <w:pPr>
      <w:pBdr>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46">
    <w:name w:val="xl246"/>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47">
    <w:name w:val="xl247"/>
    <w:basedOn w:val="Normal"/>
    <w:rsid w:val="006C69B9"/>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48">
    <w:name w:val="xl248"/>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49">
    <w:name w:val="xl249"/>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50">
    <w:name w:val="xl250"/>
    <w:basedOn w:val="Normal"/>
    <w:rsid w:val="006C69B9"/>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right"/>
      <w:textAlignment w:val="center"/>
    </w:pPr>
    <w:rPr>
      <w:rFonts w:ascii="Calibri" w:eastAsia="Times New Roman" w:hAnsi="Calibri" w:cs="Calibri"/>
      <w:b/>
      <w:bCs/>
      <w:color w:val="FFFFFF"/>
      <w:sz w:val="20"/>
      <w:szCs w:val="20"/>
      <w:lang w:val="bs-Latn-BA" w:eastAsia="bs-Latn-BA"/>
    </w:rPr>
  </w:style>
  <w:style w:type="paragraph" w:customStyle="1" w:styleId="xl251">
    <w:name w:val="xl251"/>
    <w:basedOn w:val="Normal"/>
    <w:rsid w:val="006C69B9"/>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52">
    <w:name w:val="xl252"/>
    <w:basedOn w:val="Normal"/>
    <w:rsid w:val="006C69B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53">
    <w:name w:val="xl253"/>
    <w:basedOn w:val="Normal"/>
    <w:rsid w:val="006C69B9"/>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54">
    <w:name w:val="xl254"/>
    <w:basedOn w:val="Normal"/>
    <w:rsid w:val="006C69B9"/>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textAlignment w:val="center"/>
    </w:pPr>
    <w:rPr>
      <w:rFonts w:ascii="Calibri" w:eastAsia="Times New Roman" w:hAnsi="Calibri" w:cs="Calibri"/>
      <w:b/>
      <w:bCs/>
      <w:color w:val="FFFFFF"/>
      <w:sz w:val="20"/>
      <w:szCs w:val="20"/>
      <w:lang w:val="bs-Latn-BA" w:eastAsia="bs-Latn-BA"/>
    </w:rPr>
  </w:style>
  <w:style w:type="paragraph" w:customStyle="1" w:styleId="xl255">
    <w:name w:val="xl255"/>
    <w:basedOn w:val="Normal"/>
    <w:rsid w:val="006C69B9"/>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Calibri" w:eastAsia="Times New Roman" w:hAnsi="Calibri" w:cs="Calibri"/>
      <w:sz w:val="18"/>
      <w:szCs w:val="18"/>
      <w:lang w:val="bs-Latn-BA" w:eastAsia="bs-Latn-BA"/>
    </w:rPr>
  </w:style>
  <w:style w:type="paragraph" w:customStyle="1" w:styleId="xl256">
    <w:name w:val="xl256"/>
    <w:basedOn w:val="Normal"/>
    <w:rsid w:val="006C69B9"/>
    <w:pPr>
      <w:pBdr>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Calibri" w:eastAsia="Times New Roman" w:hAnsi="Calibri" w:cs="Calibri"/>
      <w:sz w:val="18"/>
      <w:szCs w:val="18"/>
      <w:lang w:val="bs-Latn-BA" w:eastAsia="bs-Latn-BA"/>
    </w:rPr>
  </w:style>
  <w:style w:type="paragraph" w:customStyle="1" w:styleId="xl257">
    <w:name w:val="xl257"/>
    <w:basedOn w:val="Normal"/>
    <w:rsid w:val="006C69B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val="bs-Latn-BA" w:eastAsia="bs-Latn-BA"/>
    </w:rPr>
  </w:style>
  <w:style w:type="paragraph" w:customStyle="1" w:styleId="xl258">
    <w:name w:val="xl258"/>
    <w:basedOn w:val="Normal"/>
    <w:rsid w:val="006C69B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59">
    <w:name w:val="xl259"/>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60">
    <w:name w:val="xl260"/>
    <w:basedOn w:val="Normal"/>
    <w:rsid w:val="006C69B9"/>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61">
    <w:name w:val="xl261"/>
    <w:basedOn w:val="Normal"/>
    <w:rsid w:val="006C69B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18"/>
      <w:szCs w:val="18"/>
      <w:lang w:val="bs-Latn-BA" w:eastAsia="bs-Latn-BA"/>
    </w:rPr>
  </w:style>
  <w:style w:type="paragraph" w:customStyle="1" w:styleId="xl262">
    <w:name w:val="xl262"/>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18"/>
      <w:szCs w:val="18"/>
      <w:lang w:val="bs-Latn-BA" w:eastAsia="bs-Latn-BA"/>
    </w:rPr>
  </w:style>
  <w:style w:type="paragraph" w:customStyle="1" w:styleId="xl263">
    <w:name w:val="xl263"/>
    <w:basedOn w:val="Normal"/>
    <w:rsid w:val="006C69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64">
    <w:name w:val="xl264"/>
    <w:basedOn w:val="Normal"/>
    <w:rsid w:val="006C69B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65">
    <w:name w:val="xl265"/>
    <w:basedOn w:val="Normal"/>
    <w:rsid w:val="006C69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66">
    <w:name w:val="xl266"/>
    <w:basedOn w:val="Normal"/>
    <w:rsid w:val="006C69B9"/>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bs-Latn-BA" w:eastAsia="bs-Latn-BA"/>
    </w:rPr>
  </w:style>
  <w:style w:type="paragraph" w:customStyle="1" w:styleId="xl267">
    <w:name w:val="xl267"/>
    <w:basedOn w:val="Normal"/>
    <w:rsid w:val="006C69B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bs-Latn-BA" w:eastAsia="bs-Latn-BA"/>
    </w:rPr>
  </w:style>
  <w:style w:type="paragraph" w:customStyle="1" w:styleId="xl268">
    <w:name w:val="xl268"/>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69">
    <w:name w:val="xl269"/>
    <w:basedOn w:val="Normal"/>
    <w:rsid w:val="006C69B9"/>
    <w:pPr>
      <w:pBdr>
        <w:top w:val="single" w:sz="4" w:space="0" w:color="auto"/>
        <w:bottom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Calibri" w:eastAsia="Times New Roman" w:hAnsi="Calibri" w:cs="Calibri"/>
      <w:sz w:val="18"/>
      <w:szCs w:val="18"/>
      <w:lang w:val="bs-Latn-BA" w:eastAsia="bs-Latn-BA"/>
    </w:rPr>
  </w:style>
  <w:style w:type="paragraph" w:customStyle="1" w:styleId="xl270">
    <w:name w:val="xl270"/>
    <w:basedOn w:val="Normal"/>
    <w:rsid w:val="006C69B9"/>
    <w:pPr>
      <w:pBdr>
        <w:top w:val="single" w:sz="4" w:space="0" w:color="auto"/>
        <w:left w:val="single" w:sz="4" w:space="0" w:color="auto"/>
        <w:right w:val="single" w:sz="4" w:space="0" w:color="auto"/>
      </w:pBdr>
      <w:shd w:val="clear" w:color="000000" w:fill="215967"/>
      <w:spacing w:before="100" w:beforeAutospacing="1" w:after="100" w:afterAutospacing="1" w:line="240" w:lineRule="auto"/>
      <w:jc w:val="right"/>
      <w:textAlignment w:val="center"/>
    </w:pPr>
    <w:rPr>
      <w:rFonts w:ascii="Times New Roman" w:eastAsia="Times New Roman" w:hAnsi="Times New Roman" w:cs="Times New Roman"/>
      <w:color w:val="FFFFFF"/>
      <w:sz w:val="20"/>
      <w:szCs w:val="20"/>
      <w:lang w:val="bs-Latn-BA" w:eastAsia="bs-Latn-BA"/>
    </w:rPr>
  </w:style>
  <w:style w:type="paragraph" w:customStyle="1" w:styleId="xl271">
    <w:name w:val="xl271"/>
    <w:basedOn w:val="Normal"/>
    <w:rsid w:val="006C69B9"/>
    <w:pPr>
      <w:pBdr>
        <w:left w:val="single" w:sz="4" w:space="0" w:color="auto"/>
        <w:right w:val="single" w:sz="4" w:space="0" w:color="auto"/>
      </w:pBdr>
      <w:shd w:val="clear" w:color="000000" w:fill="215967"/>
      <w:spacing w:before="100" w:beforeAutospacing="1" w:after="100" w:afterAutospacing="1" w:line="240" w:lineRule="auto"/>
      <w:jc w:val="right"/>
      <w:textAlignment w:val="center"/>
    </w:pPr>
    <w:rPr>
      <w:rFonts w:ascii="Times New Roman" w:eastAsia="Times New Roman" w:hAnsi="Times New Roman" w:cs="Times New Roman"/>
      <w:color w:val="FFFFFF"/>
      <w:sz w:val="20"/>
      <w:szCs w:val="20"/>
      <w:lang w:val="bs-Latn-BA" w:eastAsia="bs-Latn-BA"/>
    </w:rPr>
  </w:style>
  <w:style w:type="paragraph" w:customStyle="1" w:styleId="xl272">
    <w:name w:val="xl272"/>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73">
    <w:name w:val="xl273"/>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74">
    <w:name w:val="xl274"/>
    <w:basedOn w:val="Normal"/>
    <w:rsid w:val="006C69B9"/>
    <w:pPr>
      <w:pBdr>
        <w:top w:val="single" w:sz="4" w:space="0" w:color="auto"/>
        <w:left w:val="single" w:sz="4" w:space="0" w:color="auto"/>
        <w:bottom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75">
    <w:name w:val="xl275"/>
    <w:basedOn w:val="Normal"/>
    <w:rsid w:val="006C69B9"/>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76">
    <w:name w:val="xl276"/>
    <w:basedOn w:val="Normal"/>
    <w:rsid w:val="006C69B9"/>
    <w:pPr>
      <w:pBdr>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Times New Roman" w:eastAsia="Times New Roman" w:hAnsi="Times New Roman" w:cs="Times New Roman"/>
      <w:sz w:val="18"/>
      <w:szCs w:val="18"/>
      <w:lang w:val="bs-Latn-BA" w:eastAsia="bs-Latn-BA"/>
    </w:rPr>
  </w:style>
  <w:style w:type="paragraph" w:customStyle="1" w:styleId="xl277">
    <w:name w:val="xl277"/>
    <w:basedOn w:val="Normal"/>
    <w:rsid w:val="006C6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val="bs-Latn-BA" w:eastAsia="bs-Latn-BA"/>
    </w:rPr>
  </w:style>
  <w:style w:type="paragraph" w:customStyle="1" w:styleId="xl278">
    <w:name w:val="xl278"/>
    <w:basedOn w:val="Normal"/>
    <w:rsid w:val="006C69B9"/>
    <w:pPr>
      <w:pBdr>
        <w:top w:val="single" w:sz="4" w:space="0" w:color="auto"/>
        <w:left w:val="single" w:sz="4" w:space="0" w:color="auto"/>
        <w:bottom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79">
    <w:name w:val="xl279"/>
    <w:basedOn w:val="Normal"/>
    <w:rsid w:val="006C69B9"/>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18"/>
      <w:szCs w:val="18"/>
      <w:lang w:val="bs-Latn-BA" w:eastAsia="bs-Latn-BA"/>
    </w:rPr>
  </w:style>
  <w:style w:type="paragraph" w:customStyle="1" w:styleId="xl280">
    <w:name w:val="xl280"/>
    <w:basedOn w:val="Normal"/>
    <w:rsid w:val="006C69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bs-Latn-BA" w:eastAsia="bs-Latn-BA"/>
    </w:rPr>
  </w:style>
  <w:style w:type="paragraph" w:customStyle="1" w:styleId="xl281">
    <w:name w:val="xl281"/>
    <w:basedOn w:val="Normal"/>
    <w:rsid w:val="006C69B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bs-Latn-BA" w:eastAsia="bs-Latn-BA"/>
    </w:rPr>
  </w:style>
  <w:style w:type="paragraph" w:customStyle="1" w:styleId="xl282">
    <w:name w:val="xl282"/>
    <w:basedOn w:val="Normal"/>
    <w:rsid w:val="006C6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bs-Latn-BA" w:eastAsia="bs-Latn-BA"/>
    </w:rPr>
  </w:style>
  <w:style w:type="paragraph" w:customStyle="1" w:styleId="xl283">
    <w:name w:val="xl283"/>
    <w:basedOn w:val="Normal"/>
    <w:rsid w:val="006C69B9"/>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84">
    <w:name w:val="xl284"/>
    <w:basedOn w:val="Normal"/>
    <w:rsid w:val="006C69B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85">
    <w:name w:val="xl285"/>
    <w:basedOn w:val="Normal"/>
    <w:rsid w:val="006C69B9"/>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86">
    <w:name w:val="xl286"/>
    <w:basedOn w:val="Normal"/>
    <w:rsid w:val="006C69B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bs-Latn-BA" w:eastAsia="bs-Latn-BA"/>
    </w:rPr>
  </w:style>
  <w:style w:type="paragraph" w:customStyle="1" w:styleId="xl287">
    <w:name w:val="xl287"/>
    <w:basedOn w:val="Normal"/>
    <w:rsid w:val="006C69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val="bs-Latn-BA" w:eastAsia="bs-Latn-BA"/>
    </w:rPr>
  </w:style>
  <w:style w:type="paragraph" w:customStyle="1" w:styleId="xl288">
    <w:name w:val="xl288"/>
    <w:basedOn w:val="Normal"/>
    <w:rsid w:val="006C69B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val="bs-Latn-BA" w:eastAsia="bs-Latn-BA"/>
    </w:rPr>
  </w:style>
  <w:style w:type="table" w:customStyle="1" w:styleId="GridTable4-Accent14">
    <w:name w:val="Grid Table 4 - Accent 14"/>
    <w:basedOn w:val="Obinatablica"/>
    <w:uiPriority w:val="49"/>
    <w:rsid w:val="006C69B9"/>
    <w:pPr>
      <w:spacing w:after="0" w:line="240" w:lineRule="auto"/>
    </w:pPr>
    <w:rPr>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Grid3-Accent61">
    <w:name w:val="Medium Grid 3 - Accent 61"/>
    <w:basedOn w:val="Obinatablica"/>
    <w:next w:val="Srednjareetka3-Isticanje6"/>
    <w:uiPriority w:val="69"/>
    <w:rsid w:val="006C69B9"/>
    <w:pPr>
      <w:spacing w:after="0" w:line="240" w:lineRule="auto"/>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A0">
    <w:name w:val="A0"/>
    <w:uiPriority w:val="99"/>
    <w:rsid w:val="006C69B9"/>
    <w:rPr>
      <w:rFonts w:cs="Myriad Pro Light SemiCond"/>
      <w:color w:val="000000"/>
      <w:sz w:val="18"/>
      <w:szCs w:val="18"/>
    </w:rPr>
  </w:style>
  <w:style w:type="paragraph" w:customStyle="1" w:styleId="Pa1">
    <w:name w:val="Pa1"/>
    <w:basedOn w:val="Normal"/>
    <w:next w:val="Normal"/>
    <w:uiPriority w:val="99"/>
    <w:rsid w:val="006C69B9"/>
    <w:pPr>
      <w:autoSpaceDE w:val="0"/>
      <w:autoSpaceDN w:val="0"/>
      <w:adjustRightInd w:val="0"/>
      <w:spacing w:after="0" w:line="241" w:lineRule="atLeast"/>
    </w:pPr>
    <w:rPr>
      <w:rFonts w:ascii="Myriad Pro Light SemiCond" w:eastAsia="Calibri" w:hAnsi="Myriad Pro Light SemiCond" w:cs="Times New Roman"/>
      <w:sz w:val="24"/>
      <w:szCs w:val="24"/>
      <w:lang w:eastAsia="hr-HR"/>
    </w:rPr>
  </w:style>
  <w:style w:type="table" w:customStyle="1" w:styleId="GridTable5Dark-Accent521">
    <w:name w:val="Grid Table 5 Dark - Accent 521"/>
    <w:basedOn w:val="Obinatablica"/>
    <w:uiPriority w:val="50"/>
    <w:rsid w:val="006C69B9"/>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2">
    <w:name w:val="Grid Table 4 - Accent 52"/>
    <w:basedOn w:val="Obinatablica"/>
    <w:next w:val="GridTable4Accent5"/>
    <w:uiPriority w:val="49"/>
    <w:rsid w:val="006C69B9"/>
    <w:pPr>
      <w:spacing w:after="0" w:line="240" w:lineRule="auto"/>
    </w:pPr>
    <w:rPr>
      <w:rFonts w:eastAsia="Times New Roman"/>
      <w:lang w:val="en-US" w:eastAsia="zh-TW"/>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1Light2">
    <w:name w:val="Grid Table 1 Light2"/>
    <w:basedOn w:val="Obinatablica"/>
    <w:next w:val="GridTable1Light"/>
    <w:uiPriority w:val="46"/>
    <w:rsid w:val="006C69B9"/>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5Dark-Accent52">
    <w:name w:val="List Table 5 Dark - Accent 52"/>
    <w:basedOn w:val="Obinatablica"/>
    <w:next w:val="ListTable5DarkAccent5"/>
    <w:uiPriority w:val="50"/>
    <w:rsid w:val="006C69B9"/>
    <w:pPr>
      <w:spacing w:after="0" w:line="240" w:lineRule="auto"/>
    </w:pPr>
    <w:rPr>
      <w:rFonts w:eastAsia="Times New Roman"/>
      <w:color w:val="FFFFFF"/>
      <w:lang w:val="en-US" w:eastAsia="zh-TW"/>
    </w:rPr>
    <w:tblPr>
      <w:tblStyleRowBandSize w:val="1"/>
      <w:tblStyleColBandSize w:val="1"/>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Heading2Char1">
    <w:name w:val="Heading 2 Char1"/>
    <w:basedOn w:val="Zadanifontodlomka"/>
    <w:link w:val="Naslov2"/>
    <w:uiPriority w:val="9"/>
    <w:semiHidden/>
    <w:rsid w:val="006C69B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Zadanifontodlomka"/>
    <w:link w:val="Naslov3"/>
    <w:uiPriority w:val="9"/>
    <w:semiHidden/>
    <w:rsid w:val="006C69B9"/>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Zadanifontodlomka"/>
    <w:link w:val="Naslov4"/>
    <w:uiPriority w:val="9"/>
    <w:semiHidden/>
    <w:rsid w:val="006C69B9"/>
    <w:rPr>
      <w:rFonts w:asciiTheme="majorHAnsi" w:eastAsiaTheme="majorEastAsia" w:hAnsiTheme="majorHAnsi" w:cstheme="majorBidi"/>
      <w:i/>
      <w:iCs/>
      <w:color w:val="2F5496" w:themeColor="accent1" w:themeShade="BF"/>
    </w:rPr>
  </w:style>
  <w:style w:type="table" w:styleId="Srednjareetka3-Isticanje5">
    <w:name w:val="Medium Grid 3 Accent 5"/>
    <w:basedOn w:val="Obinatablica"/>
    <w:uiPriority w:val="69"/>
    <w:semiHidden/>
    <w:unhideWhenUsed/>
    <w:rsid w:val="006C69B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rednjareetka1-Isticanje1">
    <w:name w:val="Medium Grid 1 Accent 1"/>
    <w:basedOn w:val="Obinatablica"/>
    <w:uiPriority w:val="67"/>
    <w:semiHidden/>
    <w:unhideWhenUsed/>
    <w:rsid w:val="006C69B9"/>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Srednjesjenanje2-Isticanje5">
    <w:name w:val="Medium Shading 2 Accent 5"/>
    <w:basedOn w:val="Obinatablica"/>
    <w:uiPriority w:val="64"/>
    <w:semiHidden/>
    <w:unhideWhenUsed/>
    <w:rsid w:val="006C69B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reetka1-Isticanje5">
    <w:name w:val="Medium Grid 1 Accent 5"/>
    <w:basedOn w:val="Obinatablica"/>
    <w:uiPriority w:val="67"/>
    <w:semiHidden/>
    <w:unhideWhenUsed/>
    <w:rsid w:val="006C69B9"/>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rednjesjenanje1-Isticanje5">
    <w:name w:val="Medium Shading 1 Accent 5"/>
    <w:basedOn w:val="Obinatablica"/>
    <w:uiPriority w:val="63"/>
    <w:semiHidden/>
    <w:unhideWhenUsed/>
    <w:rsid w:val="006C69B9"/>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areetka3-Isticanje3">
    <w:name w:val="Medium Grid 3 Accent 3"/>
    <w:basedOn w:val="Obinatablica"/>
    <w:uiPriority w:val="69"/>
    <w:semiHidden/>
    <w:unhideWhenUsed/>
    <w:rsid w:val="006C69B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Tijeloteksta3">
    <w:name w:val="Body Text 3"/>
    <w:basedOn w:val="Normal"/>
    <w:link w:val="Tijeloteksta3Char"/>
    <w:uiPriority w:val="99"/>
    <w:semiHidden/>
    <w:unhideWhenUsed/>
    <w:rsid w:val="006C69B9"/>
    <w:pPr>
      <w:spacing w:after="120"/>
    </w:pPr>
    <w:rPr>
      <w:sz w:val="16"/>
      <w:szCs w:val="16"/>
    </w:rPr>
  </w:style>
  <w:style w:type="character" w:customStyle="1" w:styleId="Tijeloteksta3Char">
    <w:name w:val="Tijelo teksta 3 Char"/>
    <w:basedOn w:val="Zadanifontodlomka"/>
    <w:link w:val="Tijeloteksta3"/>
    <w:uiPriority w:val="99"/>
    <w:semiHidden/>
    <w:rsid w:val="006C69B9"/>
    <w:rPr>
      <w:sz w:val="16"/>
      <w:szCs w:val="16"/>
    </w:rPr>
  </w:style>
  <w:style w:type="table" w:styleId="Svijetlipopis-Isticanje3">
    <w:name w:val="Light List Accent 3"/>
    <w:basedOn w:val="Obinatablica"/>
    <w:uiPriority w:val="61"/>
    <w:semiHidden/>
    <w:unhideWhenUsed/>
    <w:rsid w:val="006C69B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rednjareetka1-Isticanje3">
    <w:name w:val="Medium Grid 1 Accent 3"/>
    <w:basedOn w:val="Obinatablica"/>
    <w:uiPriority w:val="67"/>
    <w:semiHidden/>
    <w:unhideWhenUsed/>
    <w:rsid w:val="006C69B9"/>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5DarkAccent5">
    <w:name w:val="Grid Table 5 Dark Accent 5"/>
    <w:basedOn w:val="Obinatablica"/>
    <w:uiPriority w:val="50"/>
    <w:rsid w:val="006C69B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Srednjareetka3-Isticanje6">
    <w:name w:val="Medium Grid 3 Accent 6"/>
    <w:basedOn w:val="Obinatablica"/>
    <w:uiPriority w:val="69"/>
    <w:semiHidden/>
    <w:unhideWhenUsed/>
    <w:rsid w:val="006C69B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GridTable4Accent5">
    <w:name w:val="Grid Table 4 Accent 5"/>
    <w:basedOn w:val="Obinatablica"/>
    <w:uiPriority w:val="49"/>
    <w:rsid w:val="006C69B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
    <w:name w:val="Grid Table 1 Light"/>
    <w:basedOn w:val="Obinatablica"/>
    <w:uiPriority w:val="46"/>
    <w:rsid w:val="006C69B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5DarkAccent5">
    <w:name w:val="List Table 5 Dark Accent 5"/>
    <w:basedOn w:val="Obinatablica"/>
    <w:uiPriority w:val="50"/>
    <w:rsid w:val="006C69B9"/>
    <w:pPr>
      <w:spacing w:after="0" w:line="240" w:lineRule="auto"/>
    </w:pPr>
    <w:rPr>
      <w:color w:val="FFFFFF" w:themeColor="background1"/>
    </w:rPr>
    <w:tblPr>
      <w:tblStyleRowBandSize w:val="1"/>
      <w:tblStyleColBandSize w:val="1"/>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hyperlink" Target="https://kultura-mostar.ba/venue/centar-za-kulturu-mostar/" TargetMode="External"/><Relationship Id="rId21" Type="http://schemas.openxmlformats.org/officeDocument/2006/relationships/hyperlink" Target="http://www.sveherc-edu.com/" TargetMode="External"/><Relationship Id="rId34" Type="http://schemas.openxmlformats.org/officeDocument/2006/relationships/hyperlink" Target="https://kultura-mostar.ba/venue/narodno-pozoriste-mostar/" TargetMode="External"/><Relationship Id="rId42" Type="http://schemas.openxmlformats.org/officeDocument/2006/relationships/hyperlink" Target="https://kultura-mostar.ba/venue/narodna-knjiznica-hnz-mostar/" TargetMode="External"/><Relationship Id="rId47" Type="http://schemas.openxmlformats.org/officeDocument/2006/relationships/image" Target="media/image7.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yperlink" Target="https://kultura-mostar.ba/venue/hrvatski-dom-herceg-stjepan-kosaca/" TargetMode="External"/><Relationship Id="rId46" Type="http://schemas.openxmlformats.org/officeDocument/2006/relationships/hyperlink" Target="https://capljina.ba/directory/gradska-knjiznica-capljina/"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chart" Target="charts/chart15.xml"/><Relationship Id="rId41" Type="http://schemas.openxmlformats.org/officeDocument/2006/relationships/hyperlink" Target="https://kultura-mostar.ba/venue/narodna-biblioteka-mostar/"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s://kultura-mostar.ba/venue/lutkarsko-kazaliste-mostar/" TargetMode="External"/><Relationship Id="rId40" Type="http://schemas.openxmlformats.org/officeDocument/2006/relationships/hyperlink" Target="https://kultura-mostar.ba/venue/muzej-hercegovine/" TargetMode="External"/><Relationship Id="rId45" Type="http://schemas.openxmlformats.org/officeDocument/2006/relationships/hyperlink" Target="https://kultura-mostar.ba/venue/omladinski-kulturni-centar-abrasevic/"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kultura-mostar.ba/venue/pozoriste-lutaka-mostar/" TargetMode="External"/><Relationship Id="rId49"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17.xml"/><Relationship Id="rId44" Type="http://schemas.openxmlformats.org/officeDocument/2006/relationships/hyperlink" Target="https://kultura-mostar.ba/venue/muzicki-centar-pavarotti/"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hyperlink" Target="http://logos-centar.com/Default.aspx" TargetMode="Externa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s://kultura-mostar.ba/venue/hnk-mostar/" TargetMode="External"/><Relationship Id="rId43" Type="http://schemas.openxmlformats.org/officeDocument/2006/relationships/hyperlink" Target="https://kultura-mostar.ba/venue/simfonijski-orkestar-mostar/" TargetMode="External"/><Relationship Id="rId48" Type="http://schemas.openxmlformats.org/officeDocument/2006/relationships/image" Target="media/image8.emf"/><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vedad\Desktop\UNDP%20folder\PROJEKAT%20Kanton%20HNK\NOVO_Statisti&#269;ki%20pokazatelji%20za%20SEA%20analizu_HNK.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nita\Desktop\analize\izvjesca%20i%20programi\izvje&#353;&#263;e%201-6.2020\slike%20i%20tabele%20tr&#382;i&#353;te%20rada%20201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nita\Desktop\analize\izvjesca%20i%20programi\izvje&#353;&#263;e%201-6.2020\slike%20i%20tabele%20tr&#382;i&#353;te%20rada%202019.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kresic\Desktop\HN&#381;%20strategija%202020\Statistika%20HN&#38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kresic\Desktop\HN&#381;%20strategija%202020\Statistika%20HN&#38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kresic\Desktop\HN&#381;%20strategija%202020\Statistika%20HN&#38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kresic\Desktop\HN&#381;%20strategija%202020\Statistika%20turizam%20HN&#38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style val="7"/>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Sheet1!$C$5</c:f>
              <c:strCache>
                <c:ptCount val="1"/>
                <c:pt idx="0">
                  <c:v>Broj rodjenih</c:v>
                </c:pt>
              </c:strCache>
            </c:strRef>
          </c:tx>
          <c:cat>
            <c:numRef>
              <c:f>Sheet1!$D$4:$I$4</c:f>
              <c:numCache>
                <c:formatCode>General</c:formatCode>
                <c:ptCount val="6"/>
                <c:pt idx="0">
                  <c:v>2014</c:v>
                </c:pt>
                <c:pt idx="1">
                  <c:v>2015</c:v>
                </c:pt>
                <c:pt idx="2">
                  <c:v>2016</c:v>
                </c:pt>
                <c:pt idx="3">
                  <c:v>2017</c:v>
                </c:pt>
                <c:pt idx="4">
                  <c:v>2018</c:v>
                </c:pt>
                <c:pt idx="5">
                  <c:v>2019</c:v>
                </c:pt>
              </c:numCache>
            </c:numRef>
          </c:cat>
          <c:val>
            <c:numRef>
              <c:f>Sheet1!$D$5:$I$5</c:f>
              <c:numCache>
                <c:formatCode>General</c:formatCode>
                <c:ptCount val="6"/>
                <c:pt idx="0">
                  <c:v>1824</c:v>
                </c:pt>
                <c:pt idx="1">
                  <c:v>1762</c:v>
                </c:pt>
                <c:pt idx="2">
                  <c:v>1833</c:v>
                </c:pt>
                <c:pt idx="3">
                  <c:v>1712</c:v>
                </c:pt>
                <c:pt idx="4">
                  <c:v>1790</c:v>
                </c:pt>
                <c:pt idx="5">
                  <c:v>1632</c:v>
                </c:pt>
              </c:numCache>
            </c:numRef>
          </c:val>
          <c:extLst xmlns:c16r2="http://schemas.microsoft.com/office/drawing/2015/06/chart">
            <c:ext xmlns:c16="http://schemas.microsoft.com/office/drawing/2014/chart" uri="{C3380CC4-5D6E-409C-BE32-E72D297353CC}">
              <c16:uniqueId val="{00000000-B88D-4D8E-873D-7E0EEA6B9B3D}"/>
            </c:ext>
          </c:extLst>
        </c:ser>
        <c:ser>
          <c:idx val="1"/>
          <c:order val="1"/>
          <c:tx>
            <c:strRef>
              <c:f>Sheet1!$C$6</c:f>
              <c:strCache>
                <c:ptCount val="1"/>
                <c:pt idx="0">
                  <c:v>Broj umrlih</c:v>
                </c:pt>
              </c:strCache>
            </c:strRef>
          </c:tx>
          <c:spPr>
            <a:solidFill>
              <a:schemeClr val="accent6"/>
            </a:solidFill>
          </c:spPr>
          <c:cat>
            <c:numRef>
              <c:f>Sheet1!$D$4:$I$4</c:f>
              <c:numCache>
                <c:formatCode>General</c:formatCode>
                <c:ptCount val="6"/>
                <c:pt idx="0">
                  <c:v>2014</c:v>
                </c:pt>
                <c:pt idx="1">
                  <c:v>2015</c:v>
                </c:pt>
                <c:pt idx="2">
                  <c:v>2016</c:v>
                </c:pt>
                <c:pt idx="3">
                  <c:v>2017</c:v>
                </c:pt>
                <c:pt idx="4">
                  <c:v>2018</c:v>
                </c:pt>
                <c:pt idx="5">
                  <c:v>2019</c:v>
                </c:pt>
              </c:numCache>
            </c:numRef>
          </c:cat>
          <c:val>
            <c:numRef>
              <c:f>Sheet1!$D$6:$I$6</c:f>
              <c:numCache>
                <c:formatCode>General</c:formatCode>
                <c:ptCount val="6"/>
                <c:pt idx="0">
                  <c:v>2164</c:v>
                </c:pt>
                <c:pt idx="1">
                  <c:v>2341</c:v>
                </c:pt>
                <c:pt idx="2">
                  <c:v>2222</c:v>
                </c:pt>
                <c:pt idx="3">
                  <c:v>2339</c:v>
                </c:pt>
                <c:pt idx="4">
                  <c:v>2234</c:v>
                </c:pt>
                <c:pt idx="5">
                  <c:v>2276</c:v>
                </c:pt>
              </c:numCache>
            </c:numRef>
          </c:val>
          <c:extLst xmlns:c16r2="http://schemas.microsoft.com/office/drawing/2015/06/chart">
            <c:ext xmlns:c16="http://schemas.microsoft.com/office/drawing/2014/chart" uri="{C3380CC4-5D6E-409C-BE32-E72D297353CC}">
              <c16:uniqueId val="{00000001-B88D-4D8E-873D-7E0EEA6B9B3D}"/>
            </c:ext>
          </c:extLst>
        </c:ser>
        <c:axId val="144793600"/>
        <c:axId val="144795136"/>
      </c:barChart>
      <c:catAx>
        <c:axId val="144793600"/>
        <c:scaling>
          <c:orientation val="minMax"/>
        </c:scaling>
        <c:axPos val="b"/>
        <c:numFmt formatCode="General" sourceLinked="1"/>
        <c:majorTickMark val="none"/>
        <c:tickLblPos val="nextTo"/>
        <c:crossAx val="144795136"/>
        <c:crosses val="autoZero"/>
        <c:auto val="1"/>
        <c:lblAlgn val="ctr"/>
        <c:lblOffset val="100"/>
      </c:catAx>
      <c:valAx>
        <c:axId val="144795136"/>
        <c:scaling>
          <c:orientation val="minMax"/>
        </c:scaling>
        <c:axPos val="l"/>
        <c:majorGridlines/>
        <c:numFmt formatCode="General" sourceLinked="1"/>
        <c:majorTickMark val="none"/>
        <c:tickLblPos val="nextTo"/>
        <c:crossAx val="144793600"/>
        <c:crosses val="autoZero"/>
        <c:crossBetween val="between"/>
      </c:valAx>
      <c:dTable>
        <c:showHorzBorder val="1"/>
        <c:showVertBorder val="1"/>
        <c:showOutline val="1"/>
        <c:showKeys val="1"/>
      </c:dTable>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latin typeface="+mn-lt"/>
                <a:cs typeface="Times New Roman" panose="02020603050405020304" pitchFamily="18" charset="0"/>
              </a:rPr>
              <a:t>Prikaz anketiranih tvrtki</a:t>
            </a:r>
            <a:r>
              <a:rPr lang="hr-HR" sz="1000" baseline="0">
                <a:latin typeface="+mn-lt"/>
                <a:cs typeface="Times New Roman" panose="02020603050405020304" pitchFamily="18" charset="0"/>
              </a:rPr>
              <a:t> prema vrsti organizacije</a:t>
            </a:r>
            <a:endParaRPr lang="hr-HR" sz="1000">
              <a:latin typeface="+mn-lt"/>
              <a:cs typeface="Times New Roman" panose="02020603050405020304" pitchFamily="18" charset="0"/>
            </a:endParaRP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List2!$C$45:$C$50</c:f>
              <c:strCache>
                <c:ptCount val="6"/>
                <c:pt idx="0">
                  <c:v>Društvo sa neograničenom solidarnom odgovornošću</c:v>
                </c:pt>
                <c:pt idx="1">
                  <c:v>Društvo sa ograničenom odgovornošću</c:v>
                </c:pt>
                <c:pt idx="2">
                  <c:v>Dioničarsko društvo</c:v>
                </c:pt>
                <c:pt idx="3">
                  <c:v>Udruženje građana</c:v>
                </c:pt>
                <c:pt idx="4">
                  <c:v>Obrt</c:v>
                </c:pt>
                <c:pt idx="5">
                  <c:v>Privana zdravstvena ustanova</c:v>
                </c:pt>
              </c:strCache>
            </c:strRef>
          </c:cat>
          <c:val>
            <c:numRef>
              <c:f>List2!$D$45:$D$50</c:f>
              <c:numCache>
                <c:formatCode>General</c:formatCode>
                <c:ptCount val="6"/>
                <c:pt idx="0">
                  <c:v>1</c:v>
                </c:pt>
                <c:pt idx="1">
                  <c:v>111</c:v>
                </c:pt>
                <c:pt idx="2">
                  <c:v>9</c:v>
                </c:pt>
                <c:pt idx="3">
                  <c:v>1</c:v>
                </c:pt>
                <c:pt idx="4">
                  <c:v>8</c:v>
                </c:pt>
                <c:pt idx="5">
                  <c:v>1</c:v>
                </c:pt>
              </c:numCache>
            </c:numRef>
          </c:val>
          <c:extLst xmlns:c16r2="http://schemas.microsoft.com/office/drawing/2015/06/chart">
            <c:ext xmlns:c16="http://schemas.microsoft.com/office/drawing/2014/chart" uri="{C3380CC4-5D6E-409C-BE32-E72D297353CC}">
              <c16:uniqueId val="{00000000-E7F3-4F5D-B1BE-36E6652A784B}"/>
            </c:ext>
          </c:extLst>
        </c:ser>
        <c:gapWidth val="182"/>
        <c:axId val="145705600"/>
        <c:axId val="145711488"/>
      </c:barChart>
      <c:catAx>
        <c:axId val="1457056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711488"/>
        <c:crosses val="autoZero"/>
        <c:auto val="1"/>
        <c:lblAlgn val="ctr"/>
        <c:lblOffset val="100"/>
      </c:catAx>
      <c:valAx>
        <c:axId val="1457114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7056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latin typeface="+mn-lt"/>
                <a:cs typeface="Times New Roman" panose="02020603050405020304" pitchFamily="18" charset="0"/>
              </a:rPr>
              <a:t>Prikaz anketiranih tvrtki prema veličini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BCD-4C5E-B331-2F5E16405F38}"/>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BCD-4C5E-B331-2F5E16405F38}"/>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BCD-4C5E-B331-2F5E16405F38}"/>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BCD-4C5E-B331-2F5E16405F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List2!$C$65:$C$68</c:f>
              <c:strCache>
                <c:ptCount val="4"/>
                <c:pt idx="0">
                  <c:v>Mikro tvrtke - do 10 radnika</c:v>
                </c:pt>
                <c:pt idx="1">
                  <c:v>Male tvrtke - od 10 do 50 radnika</c:v>
                </c:pt>
                <c:pt idx="2">
                  <c:v>Srednje tvrtke - od 50 do 250 radnika</c:v>
                </c:pt>
                <c:pt idx="3">
                  <c:v>Velike tvrtke - više od 250 radnika</c:v>
                </c:pt>
              </c:strCache>
            </c:strRef>
          </c:cat>
          <c:val>
            <c:numRef>
              <c:f>List2!$D$65:$D$68</c:f>
              <c:numCache>
                <c:formatCode>0.00%</c:formatCode>
                <c:ptCount val="4"/>
                <c:pt idx="0">
                  <c:v>0.25369999999999998</c:v>
                </c:pt>
                <c:pt idx="1">
                  <c:v>0.60450000000000004</c:v>
                </c:pt>
                <c:pt idx="2">
                  <c:v>0.11940000000000002</c:v>
                </c:pt>
                <c:pt idx="3">
                  <c:v>2.240000000000001E-2</c:v>
                </c:pt>
              </c:numCache>
            </c:numRef>
          </c:val>
          <c:extLst xmlns:c16r2="http://schemas.microsoft.com/office/drawing/2015/06/chart">
            <c:ext xmlns:c16="http://schemas.microsoft.com/office/drawing/2014/chart" uri="{C3380CC4-5D6E-409C-BE32-E72D297353CC}">
              <c16:uniqueId val="{00000008-1BCD-4C5E-B331-2F5E16405F38}"/>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a:latin typeface="+mn-lt"/>
                <a:cs typeface="Times New Roman" panose="02020603050405020304" pitchFamily="18" charset="0"/>
              </a:rPr>
              <a:t>Prikaz anketiranih tvrtki prema dužini postojanja</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List2!$C$84:$C$88</c:f>
              <c:strCache>
                <c:ptCount val="5"/>
                <c:pt idx="0">
                  <c:v>Tvrtka mlađa od 3 godine</c:v>
                </c:pt>
                <c:pt idx="1">
                  <c:v>4-5 godina</c:v>
                </c:pt>
                <c:pt idx="2">
                  <c:v>6-10 godina</c:v>
                </c:pt>
                <c:pt idx="3">
                  <c:v>11-20 godina</c:v>
                </c:pt>
                <c:pt idx="4">
                  <c:v>Tvrtka starija od 20 godina</c:v>
                </c:pt>
              </c:strCache>
            </c:strRef>
          </c:cat>
          <c:val>
            <c:numRef>
              <c:f>List2!$D$84:$D$88</c:f>
              <c:numCache>
                <c:formatCode>0.00%</c:formatCode>
                <c:ptCount val="5"/>
                <c:pt idx="0">
                  <c:v>2.9899999999999999E-2</c:v>
                </c:pt>
                <c:pt idx="1">
                  <c:v>2.9899999999999999E-2</c:v>
                </c:pt>
                <c:pt idx="2">
                  <c:v>0.16420000000000001</c:v>
                </c:pt>
                <c:pt idx="3">
                  <c:v>0.28350000000000009</c:v>
                </c:pt>
                <c:pt idx="4">
                  <c:v>0.49250000000000016</c:v>
                </c:pt>
              </c:numCache>
            </c:numRef>
          </c:val>
          <c:extLst xmlns:c16r2="http://schemas.microsoft.com/office/drawing/2015/06/chart">
            <c:ext xmlns:c16="http://schemas.microsoft.com/office/drawing/2014/chart" uri="{C3380CC4-5D6E-409C-BE32-E72D297353CC}">
              <c16:uniqueId val="{00000000-671C-4AC2-BCF4-951969998AF7}"/>
            </c:ext>
          </c:extLst>
        </c:ser>
        <c:gapWidth val="219"/>
        <c:overlap val="-27"/>
        <c:axId val="145891328"/>
        <c:axId val="145892864"/>
      </c:barChart>
      <c:catAx>
        <c:axId val="145891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892864"/>
        <c:crosses val="autoZero"/>
        <c:auto val="1"/>
        <c:lblAlgn val="ctr"/>
        <c:lblOffset val="100"/>
      </c:catAx>
      <c:valAx>
        <c:axId val="14589286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8913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Pregled broja zaposlenih radnika prema vrsti ugovora o radu</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List2!$F$108:$L$108</c:f>
              <c:strCache>
                <c:ptCount val="7"/>
                <c:pt idx="0">
                  <c:v>Ukupno zaposlenih</c:v>
                </c:pt>
                <c:pt idx="1">
                  <c:v>Neodređeno</c:v>
                </c:pt>
                <c:pt idx="2">
                  <c:v>Određeno</c:v>
                </c:pt>
                <c:pt idx="3">
                  <c:v>Stručno 
osposobljavanje</c:v>
                </c:pt>
                <c:pt idx="4">
                  <c:v>Pripravnik</c:v>
                </c:pt>
                <c:pt idx="5">
                  <c:v>Privremeni povremeni
poslovi</c:v>
                </c:pt>
                <c:pt idx="6">
                  <c:v>Ugovor o djelu</c:v>
                </c:pt>
              </c:strCache>
            </c:strRef>
          </c:cat>
          <c:val>
            <c:numRef>
              <c:f>List2!$F$109:$L$109</c:f>
              <c:numCache>
                <c:formatCode>#,##0</c:formatCode>
                <c:ptCount val="7"/>
                <c:pt idx="0">
                  <c:v>5077</c:v>
                </c:pt>
                <c:pt idx="1">
                  <c:v>3531</c:v>
                </c:pt>
                <c:pt idx="2">
                  <c:v>1214</c:v>
                </c:pt>
                <c:pt idx="3" formatCode="General">
                  <c:v>34</c:v>
                </c:pt>
                <c:pt idx="4" formatCode="General">
                  <c:v>45</c:v>
                </c:pt>
                <c:pt idx="5" formatCode="General">
                  <c:v>216</c:v>
                </c:pt>
                <c:pt idx="6" formatCode="General">
                  <c:v>37</c:v>
                </c:pt>
              </c:numCache>
            </c:numRef>
          </c:val>
          <c:extLst xmlns:c16r2="http://schemas.microsoft.com/office/drawing/2015/06/chart">
            <c:ext xmlns:c16="http://schemas.microsoft.com/office/drawing/2014/chart" uri="{C3380CC4-5D6E-409C-BE32-E72D297353CC}">
              <c16:uniqueId val="{00000000-B74D-4894-A57D-496CF6A780D6}"/>
            </c:ext>
          </c:extLst>
        </c:ser>
        <c:gapWidth val="182"/>
        <c:axId val="152267008"/>
        <c:axId val="152272896"/>
      </c:barChart>
      <c:catAx>
        <c:axId val="15226700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272896"/>
        <c:crosses val="autoZero"/>
        <c:auto val="1"/>
        <c:lblAlgn val="ctr"/>
        <c:lblOffset val="100"/>
      </c:catAx>
      <c:valAx>
        <c:axId val="15227289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2670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Procjena obujma poslovanja  i</a:t>
            </a:r>
            <a:r>
              <a:rPr lang="hr-HR" sz="1100" baseline="0">
                <a:latin typeface="Times New Roman" panose="02020603050405020304" pitchFamily="18" charset="0"/>
                <a:cs typeface="Times New Roman" panose="02020603050405020304" pitchFamily="18" charset="0"/>
              </a:rPr>
              <a:t> financijskih efekata u 2019. godiini</a:t>
            </a:r>
            <a:r>
              <a:rPr lang="hr-HR" sz="1100">
                <a:latin typeface="Times New Roman" panose="02020603050405020304" pitchFamily="18" charset="0"/>
                <a:cs typeface="Times New Roman" panose="02020603050405020304" pitchFamily="18" charset="0"/>
              </a:rPr>
              <a:t> </a:t>
            </a:r>
          </a:p>
        </c:rich>
      </c:tx>
      <c:spPr>
        <a:noFill/>
        <a:ln>
          <a:noFill/>
        </a:ln>
        <a:effectLst/>
      </c:spPr>
    </c:title>
    <c:plotArea>
      <c:layout/>
      <c:barChart>
        <c:barDir val="col"/>
        <c:grouping val="clustered"/>
        <c:ser>
          <c:idx val="0"/>
          <c:order val="0"/>
          <c:tx>
            <c:strRef>
              <c:f>List2!$F$118</c:f>
              <c:strCache>
                <c:ptCount val="1"/>
                <c:pt idx="0">
                  <c:v>Procjena obujma poslovanja (proizvdnja, prodaja, usluge)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List2!$E$119:$E$121</c:f>
              <c:strCache>
                <c:ptCount val="3"/>
                <c:pt idx="0">
                  <c:v>Opadanje</c:v>
                </c:pt>
                <c:pt idx="1">
                  <c:v>Rast</c:v>
                </c:pt>
                <c:pt idx="2">
                  <c:v>Stagnacija</c:v>
                </c:pt>
              </c:strCache>
            </c:strRef>
          </c:cat>
          <c:val>
            <c:numRef>
              <c:f>List2!$F$119:$F$121</c:f>
              <c:numCache>
                <c:formatCode>0.00%</c:formatCode>
                <c:ptCount val="3"/>
                <c:pt idx="0">
                  <c:v>9.9920000000000037E-2</c:v>
                </c:pt>
                <c:pt idx="1">
                  <c:v>0.66410000000000025</c:v>
                </c:pt>
                <c:pt idx="2">
                  <c:v>0.2326</c:v>
                </c:pt>
              </c:numCache>
            </c:numRef>
          </c:val>
          <c:extLst xmlns:c16r2="http://schemas.microsoft.com/office/drawing/2015/06/chart">
            <c:ext xmlns:c16="http://schemas.microsoft.com/office/drawing/2014/chart" uri="{C3380CC4-5D6E-409C-BE32-E72D297353CC}">
              <c16:uniqueId val="{00000000-CFDC-454A-9613-864D2B5F8EFF}"/>
            </c:ext>
          </c:extLst>
        </c:ser>
        <c:ser>
          <c:idx val="1"/>
          <c:order val="1"/>
          <c:tx>
            <c:strRef>
              <c:f>List2!$G$118</c:f>
              <c:strCache>
                <c:ptCount val="1"/>
                <c:pt idx="0">
                  <c:v>Procjena financijskih efekata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List2!$E$119:$E$121</c:f>
              <c:strCache>
                <c:ptCount val="3"/>
                <c:pt idx="0">
                  <c:v>Opadanje</c:v>
                </c:pt>
                <c:pt idx="1">
                  <c:v>Rast</c:v>
                </c:pt>
                <c:pt idx="2">
                  <c:v>Stagnacija</c:v>
                </c:pt>
              </c:strCache>
            </c:strRef>
          </c:cat>
          <c:val>
            <c:numRef>
              <c:f>List2!$G$119:$G$121</c:f>
              <c:numCache>
                <c:formatCode>0.00%</c:formatCode>
                <c:ptCount val="3"/>
                <c:pt idx="0">
                  <c:v>9.7600000000000006E-2</c:v>
                </c:pt>
                <c:pt idx="1">
                  <c:v>0.6585000000000002</c:v>
                </c:pt>
                <c:pt idx="2">
                  <c:v>0.24390000000000006</c:v>
                </c:pt>
              </c:numCache>
            </c:numRef>
          </c:val>
          <c:extLst xmlns:c16r2="http://schemas.microsoft.com/office/drawing/2015/06/chart">
            <c:ext xmlns:c16="http://schemas.microsoft.com/office/drawing/2014/chart" uri="{C3380CC4-5D6E-409C-BE32-E72D297353CC}">
              <c16:uniqueId val="{00000001-CFDC-454A-9613-864D2B5F8EFF}"/>
            </c:ext>
          </c:extLst>
        </c:ser>
        <c:gapWidth val="219"/>
        <c:overlap val="-27"/>
        <c:axId val="152336640"/>
        <c:axId val="152174592"/>
      </c:barChart>
      <c:catAx>
        <c:axId val="152336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174592"/>
        <c:crosses val="autoZero"/>
        <c:auto val="1"/>
        <c:lblAlgn val="ctr"/>
        <c:lblOffset val="100"/>
      </c:catAx>
      <c:valAx>
        <c:axId val="1521745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336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Osnovni razlozi nekorištenja mjera aktivne politike zapošljavanja</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List2!$E$146:$E$149</c:f>
              <c:strCache>
                <c:ptCount val="4"/>
                <c:pt idx="0">
                  <c:v>Poslodavac nije uspio aplicirati iz tehničkih razloga</c:v>
                </c:pt>
                <c:pt idx="1">
                  <c:v>Poslodavac nije razmišljao o korištenju mjera</c:v>
                </c:pt>
                <c:pt idx="2">
                  <c:v>Poslodavac nije imao informacije o mjerama</c:v>
                </c:pt>
                <c:pt idx="3">
                  <c:v>Ostalo</c:v>
                </c:pt>
              </c:strCache>
            </c:strRef>
          </c:cat>
          <c:val>
            <c:numRef>
              <c:f>List2!$F$146:$F$149</c:f>
              <c:numCache>
                <c:formatCode>General</c:formatCode>
                <c:ptCount val="4"/>
                <c:pt idx="0">
                  <c:v>47</c:v>
                </c:pt>
                <c:pt idx="1">
                  <c:v>16</c:v>
                </c:pt>
                <c:pt idx="2">
                  <c:v>12</c:v>
                </c:pt>
                <c:pt idx="3">
                  <c:v>6</c:v>
                </c:pt>
              </c:numCache>
            </c:numRef>
          </c:val>
          <c:extLst xmlns:c16r2="http://schemas.microsoft.com/office/drawing/2015/06/chart">
            <c:ext xmlns:c16="http://schemas.microsoft.com/office/drawing/2014/chart" uri="{C3380CC4-5D6E-409C-BE32-E72D297353CC}">
              <c16:uniqueId val="{00000000-6BBA-4C19-B1EB-9F6CE9B6A50D}"/>
            </c:ext>
          </c:extLst>
        </c:ser>
        <c:gapWidth val="182"/>
        <c:axId val="146060416"/>
        <c:axId val="146061952"/>
      </c:barChart>
      <c:catAx>
        <c:axId val="1460604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6061952"/>
        <c:crosses val="autoZero"/>
        <c:auto val="1"/>
        <c:lblAlgn val="ctr"/>
        <c:lblOffset val="100"/>
      </c:catAx>
      <c:valAx>
        <c:axId val="1460619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60604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Iskazane</a:t>
            </a:r>
            <a:r>
              <a:rPr lang="hr-HR" sz="1100" baseline="0">
                <a:latin typeface="Times New Roman" panose="02020603050405020304" pitchFamily="18" charset="0"/>
                <a:cs typeface="Times New Roman" panose="02020603050405020304" pitchFamily="18" charset="0"/>
              </a:rPr>
              <a:t> potrebe za radnicima prema stupnju stručnog obrazovanja</a:t>
            </a:r>
            <a:endParaRPr lang="hr-HR" sz="1100">
              <a:latin typeface="Times New Roman" panose="02020603050405020304" pitchFamily="18" charset="0"/>
              <a:cs typeface="Times New Roman" panose="02020603050405020304" pitchFamily="18"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74B-4846-8834-E71947654012}"/>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74B-4846-8834-E71947654012}"/>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74B-4846-8834-E71947654012}"/>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74B-4846-8834-E71947654012}"/>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74B-4846-8834-E719476540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List2!$G$166:$K$166</c:f>
              <c:strCache>
                <c:ptCount val="5"/>
                <c:pt idx="0">
                  <c:v>NK, PK, PKV</c:v>
                </c:pt>
                <c:pt idx="1">
                  <c:v>KV, VKV</c:v>
                </c:pt>
                <c:pt idx="2">
                  <c:v>SSS</c:v>
                </c:pt>
                <c:pt idx="3">
                  <c:v>VŠS</c:v>
                </c:pt>
                <c:pt idx="4">
                  <c:v>VSS</c:v>
                </c:pt>
              </c:strCache>
            </c:strRef>
          </c:cat>
          <c:val>
            <c:numRef>
              <c:f>List2!$G$167:$K$167</c:f>
              <c:numCache>
                <c:formatCode>0%</c:formatCode>
                <c:ptCount val="5"/>
                <c:pt idx="0" formatCode="0.00%">
                  <c:v>2.4199999999999992E-2</c:v>
                </c:pt>
                <c:pt idx="1">
                  <c:v>0.54</c:v>
                </c:pt>
                <c:pt idx="2" formatCode="0.00%">
                  <c:v>0.29420000000000002</c:v>
                </c:pt>
                <c:pt idx="3" formatCode="0.00%">
                  <c:v>1.6799999999999999E-2</c:v>
                </c:pt>
                <c:pt idx="4" formatCode="0.00%">
                  <c:v>0.12479999999999999</c:v>
                </c:pt>
              </c:numCache>
            </c:numRef>
          </c:val>
          <c:extLst xmlns:c16r2="http://schemas.microsoft.com/office/drawing/2015/06/chart">
            <c:ext xmlns:c16="http://schemas.microsoft.com/office/drawing/2014/chart" uri="{C3380CC4-5D6E-409C-BE32-E72D297353CC}">
              <c16:uniqueId val="{0000000A-874B-4846-8834-E71947654012}"/>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Najznačajniji</a:t>
            </a:r>
            <a:r>
              <a:rPr lang="hr-HR" sz="1100" baseline="0">
                <a:latin typeface="Times New Roman" panose="02020603050405020304" pitchFamily="18" charset="0"/>
                <a:cs typeface="Times New Roman" panose="02020603050405020304" pitchFamily="18" charset="0"/>
              </a:rPr>
              <a:t> razlozi nedostatka određenih profila zaposlenika</a:t>
            </a:r>
            <a:endParaRPr lang="hr-HR" sz="1100">
              <a:latin typeface="Times New Roman" panose="02020603050405020304" pitchFamily="18" charset="0"/>
              <a:cs typeface="Times New Roman" panose="02020603050405020304" pitchFamily="18" charset="0"/>
            </a:endParaRP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List2!$E$209:$P$209</c:f>
              <c:strCache>
                <c:ptCount val="12"/>
                <c:pt idx="0">
                  <c:v>Nedostatak poticajnih sredstava za obuku</c:v>
                </c:pt>
                <c:pt idx="1">
                  <c:v>Poreska politika (visoka izdvajanja)</c:v>
                </c:pt>
                <c:pt idx="2">
                  <c:v>Nedovoljno informacija o radnoj snazi</c:v>
                </c:pt>
                <c:pt idx="3">
                  <c:v>Nedostatak odgovarajućeg radnog iskustva</c:v>
                </c:pt>
                <c:pt idx="4">
                  <c:v>Nedostatak potrebnih kvalifikacija  i stručnih vještina</c:v>
                </c:pt>
                <c:pt idx="5">
                  <c:v>Opće karakteristike (opća kultura ponašanja,interesi)</c:v>
                </c:pt>
                <c:pt idx="6">
                  <c:v>Visina plaće</c:v>
                </c:pt>
                <c:pt idx="7">
                  <c:v>Radno vrijeme</c:v>
                </c:pt>
                <c:pt idx="8">
                  <c:v>Udaljenost radnog mjesta (mobilnost radne snage)</c:v>
                </c:pt>
                <c:pt idx="9">
                  <c:v>Nedostatak informatičkih vještina</c:v>
                </c:pt>
                <c:pt idx="10">
                  <c:v>Nepoznavanje stranih jezika</c:v>
                </c:pt>
                <c:pt idx="11">
                  <c:v>Nedostatak stručnog znanja</c:v>
                </c:pt>
              </c:strCache>
            </c:strRef>
          </c:cat>
          <c:val>
            <c:numRef>
              <c:f>List2!$E$210:$P$210</c:f>
              <c:numCache>
                <c:formatCode>General</c:formatCode>
                <c:ptCount val="12"/>
                <c:pt idx="0">
                  <c:v>2.88</c:v>
                </c:pt>
                <c:pt idx="1">
                  <c:v>3.46</c:v>
                </c:pt>
                <c:pt idx="2">
                  <c:v>2.1</c:v>
                </c:pt>
                <c:pt idx="3">
                  <c:v>4.17</c:v>
                </c:pt>
                <c:pt idx="4">
                  <c:v>4.3099999999999996</c:v>
                </c:pt>
                <c:pt idx="5">
                  <c:v>2.8499999999999992</c:v>
                </c:pt>
                <c:pt idx="6">
                  <c:v>2.4099999999999997</c:v>
                </c:pt>
                <c:pt idx="7">
                  <c:v>2.57</c:v>
                </c:pt>
                <c:pt idx="8">
                  <c:v>1.9400000000000004</c:v>
                </c:pt>
                <c:pt idx="9">
                  <c:v>2.74</c:v>
                </c:pt>
                <c:pt idx="10">
                  <c:v>2.59</c:v>
                </c:pt>
                <c:pt idx="11">
                  <c:v>3.21</c:v>
                </c:pt>
              </c:numCache>
            </c:numRef>
          </c:val>
          <c:extLst xmlns:c16r2="http://schemas.microsoft.com/office/drawing/2015/06/chart">
            <c:ext xmlns:c16="http://schemas.microsoft.com/office/drawing/2014/chart" uri="{C3380CC4-5D6E-409C-BE32-E72D297353CC}">
              <c16:uniqueId val="{00000000-ED2F-422B-8208-4AA6C2175360}"/>
            </c:ext>
          </c:extLst>
        </c:ser>
        <c:gapWidth val="182"/>
        <c:axId val="152787968"/>
        <c:axId val="152793856"/>
      </c:barChart>
      <c:catAx>
        <c:axId val="1527879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793856"/>
        <c:crosses val="autoZero"/>
        <c:auto val="1"/>
        <c:lblAlgn val="ctr"/>
        <c:lblOffset val="100"/>
      </c:catAx>
      <c:valAx>
        <c:axId val="1527938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787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Frekvencije odgovora na pitanje o obliku suradnje ostvarene sa Službom za zapošljavanje</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List2!$I$260:$N$260</c:f>
              <c:strCache>
                <c:ptCount val="6"/>
                <c:pt idx="0">
                  <c:v>Oglašavanje  slobodnih  radnih mjesta</c:v>
                </c:pt>
                <c:pt idx="1">
                  <c:v>Informiranje o ponudi radne snage</c:v>
                </c:pt>
                <c:pt idx="2">
                  <c:v>Posredovanje u zapošljavanju potrebnog profila radne snage</c:v>
                </c:pt>
                <c:pt idx="3">
                  <c:v>Učešće u programima aktivne politike zapošljavanja</c:v>
                </c:pt>
                <c:pt idx="4">
                  <c:v>Obuka, dokvalifikacija, prekvalifikacija</c:v>
                </c:pt>
                <c:pt idx="5">
                  <c:v>Selekcija radne snage</c:v>
                </c:pt>
              </c:strCache>
            </c:strRef>
          </c:cat>
          <c:val>
            <c:numRef>
              <c:f>List2!$I$261:$N$261</c:f>
              <c:numCache>
                <c:formatCode>0</c:formatCode>
                <c:ptCount val="6"/>
                <c:pt idx="0">
                  <c:v>36</c:v>
                </c:pt>
                <c:pt idx="1">
                  <c:v>34</c:v>
                </c:pt>
                <c:pt idx="2">
                  <c:v>23</c:v>
                </c:pt>
                <c:pt idx="3">
                  <c:v>25</c:v>
                </c:pt>
                <c:pt idx="4">
                  <c:v>0</c:v>
                </c:pt>
                <c:pt idx="5">
                  <c:v>2</c:v>
                </c:pt>
              </c:numCache>
            </c:numRef>
          </c:val>
          <c:extLst xmlns:c16r2="http://schemas.microsoft.com/office/drawing/2015/06/chart">
            <c:ext xmlns:c16="http://schemas.microsoft.com/office/drawing/2014/chart" uri="{C3380CC4-5D6E-409C-BE32-E72D297353CC}">
              <c16:uniqueId val="{00000000-F631-4C1C-93A7-DD17A6120232}"/>
            </c:ext>
          </c:extLst>
        </c:ser>
        <c:gapWidth val="182"/>
        <c:axId val="152974848"/>
        <c:axId val="152976384"/>
      </c:barChart>
      <c:catAx>
        <c:axId val="1529748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976384"/>
        <c:crosses val="autoZero"/>
        <c:auto val="1"/>
        <c:lblAlgn val="ctr"/>
        <c:lblOffset val="100"/>
      </c:catAx>
      <c:valAx>
        <c:axId val="15297638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29748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a:latin typeface="Times New Roman" panose="02020603050405020304" pitchFamily="18" charset="0"/>
                <a:cs typeface="Times New Roman" panose="02020603050405020304" pitchFamily="18" charset="0"/>
              </a:rPr>
              <a:t>Prosječna ocjena zadovoljstva uslugama</a:t>
            </a:r>
          </a:p>
        </c:rich>
      </c:tx>
      <c:spPr>
        <a:noFill/>
        <a:ln>
          <a:noFill/>
        </a:ln>
        <a:effectLst/>
      </c:spPr>
    </c:title>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List1!$D$177:$D$185</c:f>
              <c:strCache>
                <c:ptCount val="9"/>
                <c:pt idx="0">
                  <c:v>Informiranje o uslugama</c:v>
                </c:pt>
                <c:pt idx="1">
                  <c:v>Ažurnost u ispunjavanju preuzetih obveza</c:v>
                </c:pt>
                <c:pt idx="2">
                  <c:v>Osiguravanje traženog profila radnika</c:v>
                </c:pt>
                <c:pt idx="3">
                  <c:v>Ponuda mjera/programa aktivne politike zapošljavanja</c:v>
                </c:pt>
                <c:pt idx="4">
                  <c:v>Selekcija radne snage za potrebe poslodavca</c:v>
                </c:pt>
                <c:pt idx="5">
                  <c:v>Obuka, dokvalifikacija, prekvalifikacija</c:v>
                </c:pt>
                <c:pt idx="6">
                  <c:v>Učešće na sajmu zapošljavanja</c:v>
                </c:pt>
                <c:pt idx="7">
                  <c:v>Pravna pomoć</c:v>
                </c:pt>
                <c:pt idx="8">
                  <c:v>Podrška u rješavanje problema viška zaposlenih</c:v>
                </c:pt>
              </c:strCache>
            </c:strRef>
          </c:cat>
          <c:val>
            <c:numRef>
              <c:f>List1!$E$177:$E$185</c:f>
              <c:numCache>
                <c:formatCode>General</c:formatCode>
                <c:ptCount val="9"/>
                <c:pt idx="0">
                  <c:v>4.21</c:v>
                </c:pt>
                <c:pt idx="1">
                  <c:v>3.94</c:v>
                </c:pt>
                <c:pt idx="2">
                  <c:v>4.08</c:v>
                </c:pt>
                <c:pt idx="3">
                  <c:v>3.9099999999999997</c:v>
                </c:pt>
                <c:pt idx="4">
                  <c:v>3.4299999999999997</c:v>
                </c:pt>
                <c:pt idx="5">
                  <c:v>3.53</c:v>
                </c:pt>
                <c:pt idx="6">
                  <c:v>3.3299999999999992</c:v>
                </c:pt>
                <c:pt idx="7">
                  <c:v>3.32</c:v>
                </c:pt>
                <c:pt idx="8">
                  <c:v>3.38</c:v>
                </c:pt>
              </c:numCache>
            </c:numRef>
          </c:val>
          <c:extLst xmlns:c16r2="http://schemas.microsoft.com/office/drawing/2015/06/chart">
            <c:ext xmlns:c16="http://schemas.microsoft.com/office/drawing/2014/chart" uri="{C3380CC4-5D6E-409C-BE32-E72D297353CC}">
              <c16:uniqueId val="{00000000-7DCF-4CF6-9647-51D687273DD5}"/>
            </c:ext>
          </c:extLst>
        </c:ser>
        <c:gapWidth val="182"/>
        <c:axId val="153243648"/>
        <c:axId val="153245184"/>
      </c:barChart>
      <c:catAx>
        <c:axId val="1532436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3245184"/>
        <c:crosses val="autoZero"/>
        <c:auto val="1"/>
        <c:lblAlgn val="ctr"/>
        <c:lblOffset val="100"/>
      </c:catAx>
      <c:valAx>
        <c:axId val="1532451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53243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style val="7"/>
  <c:clrMapOvr bg1="lt1" tx1="dk1" bg2="lt2" tx2="dk2" accent1="accent1" accent2="accent2" accent3="accent3" accent4="accent4" accent5="accent5" accent6="accent6" hlink="hlink" folHlink="folHlink"/>
  <c:chart>
    <c:autoTitleDeleted val="1"/>
    <c:plotArea>
      <c:layout/>
      <c:pieChart>
        <c:varyColors val="1"/>
        <c:ser>
          <c:idx val="0"/>
          <c:order val="0"/>
          <c:tx>
            <c:strRef>
              <c:f>'FBiH po županijama 2019'!$E$18</c:f>
              <c:strCache>
                <c:ptCount val="1"/>
                <c:pt idx="0">
                  <c:v>Broj noćenja (%)</c:v>
                </c:pt>
              </c:strCache>
            </c:strRef>
          </c:tx>
          <c:dLbls>
            <c:dLbl>
              <c:idx val="1"/>
              <c:tx>
                <c:rich>
                  <a:bodyPr/>
                  <a:lstStyle/>
                  <a:p>
                    <a:r>
                      <a:rPr lang="en-US" sz="900"/>
                      <a:t>Ostale županije/kantoni</a:t>
                    </a:r>
                    <a:r>
                      <a:rPr lang="en-US"/>
                      <a:t>
74%</a:t>
                    </a:r>
                  </a:p>
                </c:rich>
              </c:tx>
              <c:dLblPos val="outEnd"/>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C5E2-4A33-8438-266624C10135}"/>
                </c:ext>
              </c:extLst>
            </c:dLbl>
            <c:spPr>
              <a:solidFill>
                <a:sysClr val="window" lastClr="FFFFFF"/>
              </a:solidFill>
              <a:ln>
                <a:solidFill>
                  <a:sysClr val="windowText" lastClr="000000">
                    <a:lumMod val="65000"/>
                    <a:lumOff val="35000"/>
                  </a:sysClr>
                </a:solidFill>
              </a:ln>
              <a:effectLst/>
            </c:spPr>
            <c:txPr>
              <a:bodyPr rot="0" vert="horz"/>
              <a:lstStyle/>
              <a:p>
                <a:pPr>
                  <a:defRPr/>
                </a:pPr>
                <a:endParaRPr lang="sr-Latn-C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'FBiH po županijama 2019'!$A$19:$A$20</c:f>
              <c:strCache>
                <c:ptCount val="2"/>
                <c:pt idx="0">
                  <c:v>Hercegovačko-neretvanski </c:v>
                </c:pt>
                <c:pt idx="1">
                  <c:v>Ostale županije/kantoni</c:v>
                </c:pt>
              </c:strCache>
            </c:strRef>
          </c:cat>
          <c:val>
            <c:numRef>
              <c:f>'FBiH po županijama 2019'!$E$19:$E$20</c:f>
              <c:numCache>
                <c:formatCode>0.00</c:formatCode>
                <c:ptCount val="2"/>
                <c:pt idx="0">
                  <c:v>25.528753402213127</c:v>
                </c:pt>
                <c:pt idx="1">
                  <c:v>74.471246597786859</c:v>
                </c:pt>
              </c:numCache>
            </c:numRef>
          </c:val>
          <c:extLst xmlns:c16r2="http://schemas.microsoft.com/office/drawing/2015/06/chart">
            <c:ext xmlns:c16="http://schemas.microsoft.com/office/drawing/2014/chart" uri="{C3380CC4-5D6E-409C-BE32-E72D297353CC}">
              <c16:uniqueId val="{00000001-C5E2-4A33-8438-266624C10135}"/>
            </c:ext>
          </c:extLst>
        </c:ser>
        <c:firstSliceAng val="0"/>
      </c:pieChart>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style val="7"/>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'HNŽ 2015 - 2019'!$B$3</c:f>
              <c:strCache>
                <c:ptCount val="1"/>
                <c:pt idx="0">
                  <c:v>Dolasci</c:v>
                </c:pt>
              </c:strCache>
            </c:strRef>
          </c:tx>
          <c:spPr>
            <a:solidFill>
              <a:schemeClr val="accent6"/>
            </a:solidFill>
          </c:spPr>
          <c:dLbls>
            <c:spPr>
              <a:noFill/>
              <a:ln>
                <a:noFill/>
              </a:ln>
              <a:effectLst/>
            </c:spPr>
            <c:txPr>
              <a:bodyPr rot="0" vert="horz"/>
              <a:lstStyle/>
              <a:p>
                <a:pPr>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trendline>
          <c:cat>
            <c:strRef>
              <c:f>'HNŽ 2015 - 2019'!$A$4:$A$8</c:f>
              <c:strCache>
                <c:ptCount val="5"/>
                <c:pt idx="0">
                  <c:v>2015.</c:v>
                </c:pt>
                <c:pt idx="1">
                  <c:v>2016.</c:v>
                </c:pt>
                <c:pt idx="2">
                  <c:v>2017.</c:v>
                </c:pt>
                <c:pt idx="3">
                  <c:v>2018.</c:v>
                </c:pt>
                <c:pt idx="4">
                  <c:v>2019.</c:v>
                </c:pt>
              </c:strCache>
            </c:strRef>
          </c:cat>
          <c:val>
            <c:numRef>
              <c:f>'HNŽ 2015 - 2019'!$B$4:$B$8</c:f>
              <c:numCache>
                <c:formatCode>#,##0</c:formatCode>
                <c:ptCount val="5"/>
                <c:pt idx="0">
                  <c:v>204224</c:v>
                </c:pt>
                <c:pt idx="1">
                  <c:v>233637</c:v>
                </c:pt>
                <c:pt idx="2">
                  <c:v>270810</c:v>
                </c:pt>
                <c:pt idx="3">
                  <c:v>286814</c:v>
                </c:pt>
                <c:pt idx="4">
                  <c:v>317311</c:v>
                </c:pt>
              </c:numCache>
            </c:numRef>
          </c:val>
          <c:extLst xmlns:c16r2="http://schemas.microsoft.com/office/drawing/2015/06/chart">
            <c:ext xmlns:c16="http://schemas.microsoft.com/office/drawing/2014/chart" uri="{C3380CC4-5D6E-409C-BE32-E72D297353CC}">
              <c16:uniqueId val="{00000001-32CE-403D-9168-41794F9DE5D2}"/>
            </c:ext>
          </c:extLst>
        </c:ser>
        <c:ser>
          <c:idx val="1"/>
          <c:order val="1"/>
          <c:tx>
            <c:strRef>
              <c:f>'HNŽ 2015 - 2019'!$C$3</c:f>
              <c:strCache>
                <c:ptCount val="1"/>
                <c:pt idx="0">
                  <c:v>Noćenja</c:v>
                </c:pt>
              </c:strCache>
            </c:strRef>
          </c:tx>
          <c:dLbls>
            <c:spPr>
              <a:noFill/>
              <a:ln>
                <a:noFill/>
              </a:ln>
              <a:effectLst/>
            </c:spPr>
            <c:txPr>
              <a:bodyPr rot="0" vert="horz"/>
              <a:lstStyle/>
              <a:p>
                <a:pPr>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trendline>
          <c:cat>
            <c:strRef>
              <c:f>'HNŽ 2015 - 2019'!$A$4:$A$8</c:f>
              <c:strCache>
                <c:ptCount val="5"/>
                <c:pt idx="0">
                  <c:v>2015.</c:v>
                </c:pt>
                <c:pt idx="1">
                  <c:v>2016.</c:v>
                </c:pt>
                <c:pt idx="2">
                  <c:v>2017.</c:v>
                </c:pt>
                <c:pt idx="3">
                  <c:v>2018.</c:v>
                </c:pt>
                <c:pt idx="4">
                  <c:v>2019.</c:v>
                </c:pt>
              </c:strCache>
            </c:strRef>
          </c:cat>
          <c:val>
            <c:numRef>
              <c:f>'HNŽ 2015 - 2019'!$C$4:$C$8</c:f>
              <c:numCache>
                <c:formatCode>#,##0</c:formatCode>
                <c:ptCount val="5"/>
                <c:pt idx="0">
                  <c:v>464166</c:v>
                </c:pt>
                <c:pt idx="1">
                  <c:v>492418</c:v>
                </c:pt>
                <c:pt idx="2">
                  <c:v>553847</c:v>
                </c:pt>
                <c:pt idx="3">
                  <c:v>581214</c:v>
                </c:pt>
                <c:pt idx="4">
                  <c:v>607508</c:v>
                </c:pt>
              </c:numCache>
            </c:numRef>
          </c:val>
          <c:extLst xmlns:c16r2="http://schemas.microsoft.com/office/drawing/2015/06/chart">
            <c:ext xmlns:c16="http://schemas.microsoft.com/office/drawing/2014/chart" uri="{C3380CC4-5D6E-409C-BE32-E72D297353CC}">
              <c16:uniqueId val="{00000003-32CE-403D-9168-41794F9DE5D2}"/>
            </c:ext>
          </c:extLst>
        </c:ser>
        <c:gapWidth val="219"/>
        <c:overlap val="-27"/>
        <c:axId val="145026432"/>
        <c:axId val="145433728"/>
      </c:barChart>
      <c:catAx>
        <c:axId val="145026432"/>
        <c:scaling>
          <c:orientation val="minMax"/>
        </c:scaling>
        <c:axPos val="b"/>
        <c:numFmt formatCode="General" sourceLinked="1"/>
        <c:majorTickMark val="none"/>
        <c:tickLblPos val="nextTo"/>
        <c:txPr>
          <a:bodyPr rot="-60000000" vert="horz"/>
          <a:lstStyle/>
          <a:p>
            <a:pPr>
              <a:defRPr/>
            </a:pPr>
            <a:endParaRPr lang="sr-Latn-CS"/>
          </a:p>
        </c:txPr>
        <c:crossAx val="145433728"/>
        <c:crosses val="autoZero"/>
        <c:auto val="1"/>
        <c:lblAlgn val="ctr"/>
        <c:lblOffset val="100"/>
      </c:catAx>
      <c:valAx>
        <c:axId val="145433728"/>
        <c:scaling>
          <c:orientation val="minMax"/>
        </c:scaling>
        <c:axPos val="l"/>
        <c:numFmt formatCode="#,##0" sourceLinked="1"/>
        <c:majorTickMark val="none"/>
        <c:tickLblPos val="nextTo"/>
        <c:txPr>
          <a:bodyPr rot="-60000000" vert="horz"/>
          <a:lstStyle/>
          <a:p>
            <a:pPr>
              <a:defRPr/>
            </a:pPr>
            <a:endParaRPr lang="sr-Latn-CS"/>
          </a:p>
        </c:txPr>
        <c:crossAx val="145026432"/>
        <c:crosses val="autoZero"/>
        <c:crossBetween val="between"/>
      </c:valAx>
    </c:plotArea>
    <c:legend>
      <c:legendPos val="b"/>
      <c:txPr>
        <a:bodyPr rot="0" vert="horz"/>
        <a:lstStyle/>
        <a:p>
          <a:pPr>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style val="7"/>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'HNŽ noćenja po JLS'!$F$3</c:f>
              <c:strCache>
                <c:ptCount val="1"/>
                <c:pt idx="0">
                  <c:v>Prosječna dužina boravka</c:v>
                </c:pt>
              </c:strCache>
            </c:strRef>
          </c:tx>
          <c:dLbls>
            <c:spPr>
              <a:noFill/>
              <a:ln>
                <a:noFill/>
              </a:ln>
              <a:effectLst/>
            </c:spPr>
            <c:txPr>
              <a:bodyPr rot="0" vert="horz"/>
              <a:lstStyle/>
              <a:p>
                <a:pPr>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'HNŽ noćenja po JLS'!$A$4:$A$11</c:f>
              <c:strCache>
                <c:ptCount val="8"/>
                <c:pt idx="0">
                  <c:v>Ravno</c:v>
                </c:pt>
                <c:pt idx="1">
                  <c:v>Prozor</c:v>
                </c:pt>
                <c:pt idx="2">
                  <c:v>Mostar</c:v>
                </c:pt>
                <c:pt idx="3">
                  <c:v>Čapljina</c:v>
                </c:pt>
                <c:pt idx="4">
                  <c:v>Konjic</c:v>
                </c:pt>
                <c:pt idx="5">
                  <c:v>Jablanica</c:v>
                </c:pt>
                <c:pt idx="6">
                  <c:v>Neum</c:v>
                </c:pt>
                <c:pt idx="7">
                  <c:v>Čitluk</c:v>
                </c:pt>
              </c:strCache>
            </c:strRef>
          </c:cat>
          <c:val>
            <c:numRef>
              <c:f>'HNŽ noćenja po JLS'!$F$4:$F$11</c:f>
              <c:numCache>
                <c:formatCode>0.0</c:formatCode>
                <c:ptCount val="8"/>
                <c:pt idx="0">
                  <c:v>1.0687022900763359</c:v>
                </c:pt>
                <c:pt idx="1">
                  <c:v>1.2101910828025437</c:v>
                </c:pt>
                <c:pt idx="2">
                  <c:v>1.2891520910802001</c:v>
                </c:pt>
                <c:pt idx="3">
                  <c:v>1.5241187384044528</c:v>
                </c:pt>
                <c:pt idx="4">
                  <c:v>1.5954868998939875</c:v>
                </c:pt>
                <c:pt idx="5">
                  <c:v>1.6654835847382492</c:v>
                </c:pt>
                <c:pt idx="6">
                  <c:v>2.2052802048809892</c:v>
                </c:pt>
                <c:pt idx="7">
                  <c:v>2.4351493190053728</c:v>
                </c:pt>
              </c:numCache>
            </c:numRef>
          </c:val>
          <c:extLst xmlns:c16r2="http://schemas.microsoft.com/office/drawing/2015/06/chart">
            <c:ext xmlns:c16="http://schemas.microsoft.com/office/drawing/2014/chart" uri="{C3380CC4-5D6E-409C-BE32-E72D297353CC}">
              <c16:uniqueId val="{00000000-B4DE-4B57-9BBC-8A5CA59F2B05}"/>
            </c:ext>
          </c:extLst>
        </c:ser>
        <c:gapWidth val="182"/>
        <c:axId val="145000704"/>
        <c:axId val="145473536"/>
      </c:barChart>
      <c:catAx>
        <c:axId val="145000704"/>
        <c:scaling>
          <c:orientation val="minMax"/>
        </c:scaling>
        <c:axPos val="b"/>
        <c:numFmt formatCode="General" sourceLinked="1"/>
        <c:majorTickMark val="none"/>
        <c:tickLblPos val="nextTo"/>
        <c:txPr>
          <a:bodyPr rot="-60000000" vert="horz"/>
          <a:lstStyle/>
          <a:p>
            <a:pPr>
              <a:defRPr/>
            </a:pPr>
            <a:endParaRPr lang="sr-Latn-CS"/>
          </a:p>
        </c:txPr>
        <c:crossAx val="145473536"/>
        <c:crosses val="autoZero"/>
        <c:auto val="1"/>
        <c:lblAlgn val="ctr"/>
        <c:lblOffset val="100"/>
      </c:catAx>
      <c:valAx>
        <c:axId val="145473536"/>
        <c:scaling>
          <c:orientation val="minMax"/>
        </c:scaling>
        <c:axPos val="l"/>
        <c:majorGridlines/>
        <c:numFmt formatCode="0.0" sourceLinked="1"/>
        <c:majorTickMark val="none"/>
        <c:tickLblPos val="nextTo"/>
        <c:txPr>
          <a:bodyPr rot="-60000000" vert="horz"/>
          <a:lstStyle/>
          <a:p>
            <a:pPr>
              <a:defRPr/>
            </a:pPr>
            <a:endParaRPr lang="sr-Latn-CS"/>
          </a:p>
        </c:txPr>
        <c:crossAx val="145000704"/>
        <c:crosses val="autoZero"/>
        <c:crossBetween val="between"/>
      </c:valAx>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pieChart>
        <c:varyColors val="1"/>
        <c:ser>
          <c:idx val="0"/>
          <c:order val="0"/>
          <c:tx>
            <c:strRef>
              <c:f>Sheet8!$B$50</c:f>
              <c:strCache>
                <c:ptCount val="1"/>
                <c:pt idx="0">
                  <c:v>Bro objekata</c:v>
                </c:pt>
              </c:strCache>
            </c:strRef>
          </c:tx>
          <c:dPt>
            <c:idx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1-0C88-4F75-81B9-955ED8970B39}"/>
              </c:ext>
            </c:extLst>
          </c:dPt>
          <c:dPt>
            <c:idx val="1"/>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0C88-4F75-81B9-955ED8970B39}"/>
              </c:ext>
            </c:extLst>
          </c:dPt>
          <c:dPt>
            <c:idx val="2"/>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0C88-4F75-81B9-955ED8970B3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C88-4F75-81B9-955ED8970B39}"/>
              </c:ext>
            </c:extLst>
          </c:dPt>
          <c:dLbls>
            <c:dLbl>
              <c:idx val="2"/>
              <c:layout>
                <c:manualLayout>
                  <c:x val="-0.05"/>
                  <c:y val="-6.4814814814814964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88-4F75-81B9-955ED8970B3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C88-4F75-81B9-955ED8970B3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C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Sheet8!$A$51:$A$54</c:f>
              <c:strCache>
                <c:ptCount val="4"/>
                <c:pt idx="0">
                  <c:v>Hoteli, moteli i sl.</c:v>
                </c:pt>
                <c:pt idx="1">
                  <c:v>Odmaralište</c:v>
                </c:pt>
                <c:pt idx="2">
                  <c:v>Sobe za iznajmljivanje</c:v>
                </c:pt>
                <c:pt idx="3">
                  <c:v>Kamp</c:v>
                </c:pt>
              </c:strCache>
            </c:strRef>
          </c:cat>
          <c:val>
            <c:numRef>
              <c:f>Sheet8!$B$51:$B$54</c:f>
              <c:numCache>
                <c:formatCode>General</c:formatCode>
                <c:ptCount val="4"/>
                <c:pt idx="0">
                  <c:v>192</c:v>
                </c:pt>
                <c:pt idx="1">
                  <c:v>53</c:v>
                </c:pt>
                <c:pt idx="2">
                  <c:v>303</c:v>
                </c:pt>
                <c:pt idx="3">
                  <c:v>2</c:v>
                </c:pt>
              </c:numCache>
            </c:numRef>
          </c:val>
          <c:extLst xmlns:c16r2="http://schemas.microsoft.com/office/drawing/2015/06/chart">
            <c:ext xmlns:c16="http://schemas.microsoft.com/office/drawing/2014/chart" uri="{C3380CC4-5D6E-409C-BE32-E72D297353CC}">
              <c16:uniqueId val="{00000008-0C88-4F75-81B9-955ED8970B39}"/>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style val="7"/>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Sheet5!$B$3</c:f>
              <c:strCache>
                <c:ptCount val="1"/>
                <c:pt idx="0">
                  <c:v>HNK</c:v>
                </c:pt>
              </c:strCache>
            </c:strRef>
          </c:tx>
          <c:dLbls>
            <c:spPr>
              <a:noFill/>
              <a:ln>
                <a:noFill/>
              </a:ln>
              <a:effectLst/>
            </c:spPr>
            <c:txPr>
              <a:bodyPr rot="0" vert="horz"/>
              <a:lstStyle/>
              <a:p>
                <a:pPr>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Sheet5!$C$2:$G$2</c:f>
              <c:numCache>
                <c:formatCode>General</c:formatCode>
                <c:ptCount val="5"/>
                <c:pt idx="0">
                  <c:v>2015</c:v>
                </c:pt>
                <c:pt idx="1">
                  <c:v>2016</c:v>
                </c:pt>
                <c:pt idx="2">
                  <c:v>2017</c:v>
                </c:pt>
                <c:pt idx="3">
                  <c:v>2018</c:v>
                </c:pt>
                <c:pt idx="4">
                  <c:v>2019</c:v>
                </c:pt>
              </c:numCache>
            </c:numRef>
          </c:cat>
          <c:val>
            <c:numRef>
              <c:f>Sheet5!$C$3:$G$3</c:f>
              <c:numCache>
                <c:formatCode>General</c:formatCode>
                <c:ptCount val="5"/>
                <c:pt idx="0">
                  <c:v>890</c:v>
                </c:pt>
                <c:pt idx="1">
                  <c:v>928</c:v>
                </c:pt>
                <c:pt idx="2">
                  <c:v>946</c:v>
                </c:pt>
                <c:pt idx="3">
                  <c:v>970</c:v>
                </c:pt>
                <c:pt idx="4">
                  <c:v>1011</c:v>
                </c:pt>
              </c:numCache>
            </c:numRef>
          </c:val>
          <c:extLst xmlns:c16r2="http://schemas.microsoft.com/office/drawing/2015/06/chart">
            <c:ext xmlns:c16="http://schemas.microsoft.com/office/drawing/2014/chart" uri="{C3380CC4-5D6E-409C-BE32-E72D297353CC}">
              <c16:uniqueId val="{00000000-0C66-4134-81E7-E605D86F1E90}"/>
            </c:ext>
          </c:extLst>
        </c:ser>
        <c:ser>
          <c:idx val="1"/>
          <c:order val="1"/>
          <c:tx>
            <c:strRef>
              <c:f>Sheet5!$B$4</c:f>
              <c:strCache>
                <c:ptCount val="1"/>
                <c:pt idx="0">
                  <c:v>Federacija BiH</c:v>
                </c:pt>
              </c:strCache>
            </c:strRef>
          </c:tx>
          <c:dLbls>
            <c:spPr>
              <a:noFill/>
              <a:ln>
                <a:noFill/>
              </a:ln>
              <a:effectLst/>
            </c:spPr>
            <c:txPr>
              <a:bodyPr rot="0" vert="horz"/>
              <a:lstStyle/>
              <a:p>
                <a:pPr>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Sheet5!$C$2:$G$2</c:f>
              <c:numCache>
                <c:formatCode>General</c:formatCode>
                <c:ptCount val="5"/>
                <c:pt idx="0">
                  <c:v>2015</c:v>
                </c:pt>
                <c:pt idx="1">
                  <c:v>2016</c:v>
                </c:pt>
                <c:pt idx="2">
                  <c:v>2017</c:v>
                </c:pt>
                <c:pt idx="3">
                  <c:v>2018</c:v>
                </c:pt>
                <c:pt idx="4">
                  <c:v>2019</c:v>
                </c:pt>
              </c:numCache>
            </c:numRef>
          </c:cat>
          <c:val>
            <c:numRef>
              <c:f>Sheet5!$C$4:$G$4</c:f>
              <c:numCache>
                <c:formatCode>General</c:formatCode>
                <c:ptCount val="5"/>
                <c:pt idx="0">
                  <c:v>830</c:v>
                </c:pt>
                <c:pt idx="1">
                  <c:v>848</c:v>
                </c:pt>
                <c:pt idx="2">
                  <c:v>860</c:v>
                </c:pt>
                <c:pt idx="3">
                  <c:v>889</c:v>
                </c:pt>
                <c:pt idx="4">
                  <c:v>928</c:v>
                </c:pt>
              </c:numCache>
            </c:numRef>
          </c:val>
          <c:extLst xmlns:c16r2="http://schemas.microsoft.com/office/drawing/2015/06/chart">
            <c:ext xmlns:c16="http://schemas.microsoft.com/office/drawing/2014/chart" uri="{C3380CC4-5D6E-409C-BE32-E72D297353CC}">
              <c16:uniqueId val="{00000001-0C66-4134-81E7-E605D86F1E90}"/>
            </c:ext>
          </c:extLst>
        </c:ser>
        <c:gapWidth val="219"/>
        <c:overlap val="-27"/>
        <c:axId val="145495168"/>
        <c:axId val="145496704"/>
      </c:barChart>
      <c:catAx>
        <c:axId val="145495168"/>
        <c:scaling>
          <c:orientation val="minMax"/>
        </c:scaling>
        <c:axPos val="b"/>
        <c:numFmt formatCode="General" sourceLinked="1"/>
        <c:majorTickMark val="none"/>
        <c:tickLblPos val="nextTo"/>
        <c:txPr>
          <a:bodyPr rot="-60000000" vert="horz"/>
          <a:lstStyle/>
          <a:p>
            <a:pPr>
              <a:defRPr/>
            </a:pPr>
            <a:endParaRPr lang="sr-Latn-CS"/>
          </a:p>
        </c:txPr>
        <c:crossAx val="145496704"/>
        <c:crosses val="autoZero"/>
        <c:auto val="1"/>
        <c:lblAlgn val="ctr"/>
        <c:lblOffset val="100"/>
      </c:catAx>
      <c:valAx>
        <c:axId val="145496704"/>
        <c:scaling>
          <c:orientation val="minMax"/>
        </c:scaling>
        <c:delete val="1"/>
        <c:axPos val="l"/>
        <c:numFmt formatCode="General" sourceLinked="1"/>
        <c:majorTickMark val="none"/>
        <c:tickLblPos val="none"/>
        <c:crossAx val="145495168"/>
        <c:crosses val="autoZero"/>
        <c:crossBetween val="between"/>
      </c:valAx>
    </c:plotArea>
    <c:legend>
      <c:legendPos val="t"/>
      <c:txPr>
        <a:bodyPr rot="0" vert="horz"/>
        <a:lstStyle/>
        <a:p>
          <a:pPr>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List1!$B$1</c:f>
              <c:strCache>
                <c:ptCount val="1"/>
                <c:pt idx="0">
                  <c:v>Učenici</c:v>
                </c:pt>
              </c:strCache>
            </c:strRef>
          </c:tx>
          <c:spPr>
            <a:solidFill>
              <a:schemeClr val="accent1"/>
            </a:solidFill>
            <a:ln>
              <a:noFill/>
            </a:ln>
            <a:effectLst/>
          </c:spPr>
          <c:cat>
            <c:strRef>
              <c:f>List1!$A$2:$A$5</c:f>
              <c:strCache>
                <c:ptCount val="4"/>
                <c:pt idx="0">
                  <c:v>2015./2016.</c:v>
                </c:pt>
                <c:pt idx="1">
                  <c:v>2016./2017.</c:v>
                </c:pt>
                <c:pt idx="2">
                  <c:v>2017./2018.</c:v>
                </c:pt>
                <c:pt idx="3">
                  <c:v>2018./2019.</c:v>
                </c:pt>
              </c:strCache>
            </c:strRef>
          </c:cat>
          <c:val>
            <c:numRef>
              <c:f>List1!$B$2:$B$5</c:f>
              <c:numCache>
                <c:formatCode>#,##0</c:formatCode>
                <c:ptCount val="4"/>
                <c:pt idx="0">
                  <c:v>15658</c:v>
                </c:pt>
                <c:pt idx="1">
                  <c:v>16547</c:v>
                </c:pt>
                <c:pt idx="2">
                  <c:v>17230</c:v>
                </c:pt>
                <c:pt idx="3">
                  <c:v>17155</c:v>
                </c:pt>
              </c:numCache>
            </c:numRef>
          </c:val>
          <c:extLst xmlns:c16r2="http://schemas.microsoft.com/office/drawing/2015/06/chart">
            <c:ext xmlns:c16="http://schemas.microsoft.com/office/drawing/2014/chart" uri="{C3380CC4-5D6E-409C-BE32-E72D297353CC}">
              <c16:uniqueId val="{00000000-DE22-4839-8EC1-7D1E08F77D54}"/>
            </c:ext>
          </c:extLst>
        </c:ser>
        <c:ser>
          <c:idx val="1"/>
          <c:order val="1"/>
          <c:tx>
            <c:strRef>
              <c:f>List1!$C$1</c:f>
              <c:strCache>
                <c:ptCount val="1"/>
                <c:pt idx="0">
                  <c:v>Učenice</c:v>
                </c:pt>
              </c:strCache>
            </c:strRef>
          </c:tx>
          <c:spPr>
            <a:solidFill>
              <a:schemeClr val="accent2"/>
            </a:solidFill>
            <a:ln>
              <a:noFill/>
            </a:ln>
            <a:effectLst/>
          </c:spPr>
          <c:cat>
            <c:strRef>
              <c:f>List1!$A$2:$A$5</c:f>
              <c:strCache>
                <c:ptCount val="4"/>
                <c:pt idx="0">
                  <c:v>2015./2016.</c:v>
                </c:pt>
                <c:pt idx="1">
                  <c:v>2016./2017.</c:v>
                </c:pt>
                <c:pt idx="2">
                  <c:v>2017./2018.</c:v>
                </c:pt>
                <c:pt idx="3">
                  <c:v>2018./2019.</c:v>
                </c:pt>
              </c:strCache>
            </c:strRef>
          </c:cat>
          <c:val>
            <c:numRef>
              <c:f>List1!$C$2:$C$5</c:f>
              <c:numCache>
                <c:formatCode>#,##0</c:formatCode>
                <c:ptCount val="4"/>
                <c:pt idx="0">
                  <c:v>7618</c:v>
                </c:pt>
                <c:pt idx="1">
                  <c:v>8036</c:v>
                </c:pt>
                <c:pt idx="2">
                  <c:v>8348</c:v>
                </c:pt>
                <c:pt idx="3">
                  <c:v>8385</c:v>
                </c:pt>
              </c:numCache>
            </c:numRef>
          </c:val>
          <c:extLst xmlns:c16r2="http://schemas.microsoft.com/office/drawing/2015/06/chart">
            <c:ext xmlns:c16="http://schemas.microsoft.com/office/drawing/2014/chart" uri="{C3380CC4-5D6E-409C-BE32-E72D297353CC}">
              <c16:uniqueId val="{00000001-DE22-4839-8EC1-7D1E08F77D54}"/>
            </c:ext>
          </c:extLst>
        </c:ser>
        <c:ser>
          <c:idx val="2"/>
          <c:order val="2"/>
          <c:tx>
            <c:strRef>
              <c:f>List1!$D$1</c:f>
              <c:strCache>
                <c:ptCount val="1"/>
                <c:pt idx="0">
                  <c:v>Ukupno</c:v>
                </c:pt>
              </c:strCache>
            </c:strRef>
          </c:tx>
          <c:spPr>
            <a:solidFill>
              <a:schemeClr val="accent3"/>
            </a:solidFill>
            <a:ln>
              <a:noFill/>
            </a:ln>
            <a:effectLst/>
          </c:spPr>
          <c:cat>
            <c:strRef>
              <c:f>List1!$A$2:$A$5</c:f>
              <c:strCache>
                <c:ptCount val="4"/>
                <c:pt idx="0">
                  <c:v>2015./2016.</c:v>
                </c:pt>
                <c:pt idx="1">
                  <c:v>2016./2017.</c:v>
                </c:pt>
                <c:pt idx="2">
                  <c:v>2017./2018.</c:v>
                </c:pt>
                <c:pt idx="3">
                  <c:v>2018./2019.</c:v>
                </c:pt>
              </c:strCache>
            </c:strRef>
          </c:cat>
          <c:val>
            <c:numRef>
              <c:f>List1!$D$2:$D$5</c:f>
              <c:numCache>
                <c:formatCode>#,##0</c:formatCode>
                <c:ptCount val="4"/>
                <c:pt idx="0">
                  <c:v>23276</c:v>
                </c:pt>
                <c:pt idx="1">
                  <c:v>24583</c:v>
                </c:pt>
                <c:pt idx="2">
                  <c:v>25578</c:v>
                </c:pt>
                <c:pt idx="3">
                  <c:v>25540</c:v>
                </c:pt>
              </c:numCache>
            </c:numRef>
          </c:val>
          <c:extLst xmlns:c16r2="http://schemas.microsoft.com/office/drawing/2015/06/chart">
            <c:ext xmlns:c16="http://schemas.microsoft.com/office/drawing/2014/chart" uri="{C3380CC4-5D6E-409C-BE32-E72D297353CC}">
              <c16:uniqueId val="{00000002-DE22-4839-8EC1-7D1E08F77D54}"/>
            </c:ext>
          </c:extLst>
        </c:ser>
        <c:gapWidth val="219"/>
        <c:overlap val="-27"/>
        <c:axId val="145803904"/>
        <c:axId val="145035648"/>
      </c:barChart>
      <c:catAx>
        <c:axId val="145803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035648"/>
        <c:crosses val="autoZero"/>
        <c:auto val="1"/>
        <c:lblAlgn val="ctr"/>
        <c:lblOffset val="100"/>
      </c:catAx>
      <c:valAx>
        <c:axId val="145035648"/>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803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CS"/>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60549722951287"/>
          <c:y val="0.10398825146856649"/>
          <c:w val="0.83707968795567322"/>
          <c:h val="0.59330802399699956"/>
        </c:manualLayout>
      </c:layout>
      <c:barChart>
        <c:barDir val="col"/>
        <c:grouping val="clustered"/>
        <c:ser>
          <c:idx val="0"/>
          <c:order val="0"/>
          <c:tx>
            <c:strRef>
              <c:f>List1!$B$1</c:f>
              <c:strCache>
                <c:ptCount val="1"/>
                <c:pt idx="0">
                  <c:v>2015./2016.</c:v>
                </c:pt>
              </c:strCache>
            </c:strRef>
          </c:tx>
          <c:spPr>
            <a:solidFill>
              <a:schemeClr val="accent1"/>
            </a:solidFill>
            <a:ln>
              <a:noFill/>
            </a:ln>
            <a:effectLst/>
          </c:spPr>
          <c:cat>
            <c:strRef>
              <c:f>List1!$A$2:$A$8</c:f>
              <c:strCache>
                <c:ptCount val="7"/>
                <c:pt idx="0">
                  <c:v>Čapljina</c:v>
                </c:pt>
                <c:pt idx="1">
                  <c:v>Čitluk</c:v>
                </c:pt>
                <c:pt idx="2">
                  <c:v>Mostar</c:v>
                </c:pt>
                <c:pt idx="3">
                  <c:v>Jablanica</c:v>
                </c:pt>
                <c:pt idx="4">
                  <c:v>Konjic</c:v>
                </c:pt>
                <c:pt idx="5">
                  <c:v>Neum</c:v>
                </c:pt>
                <c:pt idx="6">
                  <c:v>Prozor</c:v>
                </c:pt>
              </c:strCache>
            </c:strRef>
          </c:cat>
          <c:val>
            <c:numRef>
              <c:f>List1!$B$2:$B$8</c:f>
              <c:numCache>
                <c:formatCode>General</c:formatCode>
                <c:ptCount val="7"/>
                <c:pt idx="0">
                  <c:v>635</c:v>
                </c:pt>
                <c:pt idx="1">
                  <c:v>880</c:v>
                </c:pt>
                <c:pt idx="2" formatCode="#,##0">
                  <c:v>5813</c:v>
                </c:pt>
                <c:pt idx="3">
                  <c:v>251</c:v>
                </c:pt>
                <c:pt idx="4">
                  <c:v>951</c:v>
                </c:pt>
                <c:pt idx="5">
                  <c:v>76</c:v>
                </c:pt>
                <c:pt idx="6">
                  <c:v>353</c:v>
                </c:pt>
              </c:numCache>
            </c:numRef>
          </c:val>
          <c:extLst xmlns:c16r2="http://schemas.microsoft.com/office/drawing/2015/06/chart">
            <c:ext xmlns:c16="http://schemas.microsoft.com/office/drawing/2014/chart" uri="{C3380CC4-5D6E-409C-BE32-E72D297353CC}">
              <c16:uniqueId val="{00000000-6D9C-47B3-B70A-D31A764D3F6C}"/>
            </c:ext>
          </c:extLst>
        </c:ser>
        <c:ser>
          <c:idx val="1"/>
          <c:order val="1"/>
          <c:tx>
            <c:strRef>
              <c:f>List1!$C$1</c:f>
              <c:strCache>
                <c:ptCount val="1"/>
                <c:pt idx="0">
                  <c:v>2016./2017.</c:v>
                </c:pt>
              </c:strCache>
            </c:strRef>
          </c:tx>
          <c:spPr>
            <a:solidFill>
              <a:schemeClr val="accent2"/>
            </a:solidFill>
            <a:ln>
              <a:noFill/>
            </a:ln>
            <a:effectLst/>
          </c:spPr>
          <c:cat>
            <c:strRef>
              <c:f>List1!$A$2:$A$8</c:f>
              <c:strCache>
                <c:ptCount val="7"/>
                <c:pt idx="0">
                  <c:v>Čapljina</c:v>
                </c:pt>
                <c:pt idx="1">
                  <c:v>Čitluk</c:v>
                </c:pt>
                <c:pt idx="2">
                  <c:v>Mostar</c:v>
                </c:pt>
                <c:pt idx="3">
                  <c:v>Jablanica</c:v>
                </c:pt>
                <c:pt idx="4">
                  <c:v>Konjic</c:v>
                </c:pt>
                <c:pt idx="5">
                  <c:v>Neum</c:v>
                </c:pt>
                <c:pt idx="6">
                  <c:v>Prozor</c:v>
                </c:pt>
              </c:strCache>
            </c:strRef>
          </c:cat>
          <c:val>
            <c:numRef>
              <c:f>List1!$C$2:$C$8</c:f>
              <c:numCache>
                <c:formatCode>General</c:formatCode>
                <c:ptCount val="7"/>
                <c:pt idx="0">
                  <c:v>556</c:v>
                </c:pt>
                <c:pt idx="1">
                  <c:v>836</c:v>
                </c:pt>
                <c:pt idx="2" formatCode="#,##0">
                  <c:v>5335</c:v>
                </c:pt>
                <c:pt idx="3">
                  <c:v>214</c:v>
                </c:pt>
                <c:pt idx="4">
                  <c:v>881</c:v>
                </c:pt>
                <c:pt idx="5">
                  <c:v>71</c:v>
                </c:pt>
                <c:pt idx="6">
                  <c:v>336</c:v>
                </c:pt>
              </c:numCache>
            </c:numRef>
          </c:val>
          <c:extLst xmlns:c16r2="http://schemas.microsoft.com/office/drawing/2015/06/chart">
            <c:ext xmlns:c16="http://schemas.microsoft.com/office/drawing/2014/chart" uri="{C3380CC4-5D6E-409C-BE32-E72D297353CC}">
              <c16:uniqueId val="{00000001-6D9C-47B3-B70A-D31A764D3F6C}"/>
            </c:ext>
          </c:extLst>
        </c:ser>
        <c:ser>
          <c:idx val="2"/>
          <c:order val="2"/>
          <c:tx>
            <c:strRef>
              <c:f>List1!$D$1</c:f>
              <c:strCache>
                <c:ptCount val="1"/>
                <c:pt idx="0">
                  <c:v>2017./2018.</c:v>
                </c:pt>
              </c:strCache>
            </c:strRef>
          </c:tx>
          <c:spPr>
            <a:solidFill>
              <a:schemeClr val="accent3"/>
            </a:solidFill>
            <a:ln>
              <a:noFill/>
            </a:ln>
            <a:effectLst/>
          </c:spPr>
          <c:cat>
            <c:strRef>
              <c:f>List1!$A$2:$A$8</c:f>
              <c:strCache>
                <c:ptCount val="7"/>
                <c:pt idx="0">
                  <c:v>Čapljina</c:v>
                </c:pt>
                <c:pt idx="1">
                  <c:v>Čitluk</c:v>
                </c:pt>
                <c:pt idx="2">
                  <c:v>Mostar</c:v>
                </c:pt>
                <c:pt idx="3">
                  <c:v>Jablanica</c:v>
                </c:pt>
                <c:pt idx="4">
                  <c:v>Konjic</c:v>
                </c:pt>
                <c:pt idx="5">
                  <c:v>Neum</c:v>
                </c:pt>
                <c:pt idx="6">
                  <c:v>Prozor</c:v>
                </c:pt>
              </c:strCache>
            </c:strRef>
          </c:cat>
          <c:val>
            <c:numRef>
              <c:f>List1!$D$2:$D$8</c:f>
              <c:numCache>
                <c:formatCode>General</c:formatCode>
                <c:ptCount val="7"/>
                <c:pt idx="0">
                  <c:v>538</c:v>
                </c:pt>
                <c:pt idx="1">
                  <c:v>746</c:v>
                </c:pt>
                <c:pt idx="2" formatCode="#,##0">
                  <c:v>4927</c:v>
                </c:pt>
                <c:pt idx="3">
                  <c:v>216</c:v>
                </c:pt>
                <c:pt idx="4">
                  <c:v>844</c:v>
                </c:pt>
                <c:pt idx="5">
                  <c:v>90</c:v>
                </c:pt>
                <c:pt idx="6">
                  <c:v>352</c:v>
                </c:pt>
              </c:numCache>
            </c:numRef>
          </c:val>
          <c:extLst xmlns:c16r2="http://schemas.microsoft.com/office/drawing/2015/06/chart">
            <c:ext xmlns:c16="http://schemas.microsoft.com/office/drawing/2014/chart" uri="{C3380CC4-5D6E-409C-BE32-E72D297353CC}">
              <c16:uniqueId val="{00000002-6D9C-47B3-B70A-D31A764D3F6C}"/>
            </c:ext>
          </c:extLst>
        </c:ser>
        <c:ser>
          <c:idx val="3"/>
          <c:order val="3"/>
          <c:tx>
            <c:strRef>
              <c:f>List1!$E$1</c:f>
              <c:strCache>
                <c:ptCount val="1"/>
                <c:pt idx="0">
                  <c:v>2018./2019.</c:v>
                </c:pt>
              </c:strCache>
            </c:strRef>
          </c:tx>
          <c:spPr>
            <a:solidFill>
              <a:schemeClr val="accent4"/>
            </a:solidFill>
            <a:ln>
              <a:noFill/>
            </a:ln>
            <a:effectLst/>
          </c:spPr>
          <c:cat>
            <c:strRef>
              <c:f>List1!$A$2:$A$8</c:f>
              <c:strCache>
                <c:ptCount val="7"/>
                <c:pt idx="0">
                  <c:v>Čapljina</c:v>
                </c:pt>
                <c:pt idx="1">
                  <c:v>Čitluk</c:v>
                </c:pt>
                <c:pt idx="2">
                  <c:v>Mostar</c:v>
                </c:pt>
                <c:pt idx="3">
                  <c:v>Jablanica</c:v>
                </c:pt>
                <c:pt idx="4">
                  <c:v>Konjic</c:v>
                </c:pt>
                <c:pt idx="5">
                  <c:v>Neum</c:v>
                </c:pt>
                <c:pt idx="6">
                  <c:v>Prozor</c:v>
                </c:pt>
              </c:strCache>
            </c:strRef>
          </c:cat>
          <c:val>
            <c:numRef>
              <c:f>List1!$E$2:$E$8</c:f>
              <c:numCache>
                <c:formatCode>General</c:formatCode>
                <c:ptCount val="7"/>
                <c:pt idx="0">
                  <c:v>425</c:v>
                </c:pt>
                <c:pt idx="1">
                  <c:v>585</c:v>
                </c:pt>
                <c:pt idx="2" formatCode="#,##0">
                  <c:v>4775</c:v>
                </c:pt>
                <c:pt idx="3">
                  <c:v>241</c:v>
                </c:pt>
                <c:pt idx="4">
                  <c:v>913</c:v>
                </c:pt>
                <c:pt idx="5">
                  <c:v>65</c:v>
                </c:pt>
                <c:pt idx="6">
                  <c:v>298</c:v>
                </c:pt>
              </c:numCache>
            </c:numRef>
          </c:val>
          <c:extLst xmlns:c16r2="http://schemas.microsoft.com/office/drawing/2015/06/chart">
            <c:ext xmlns:c16="http://schemas.microsoft.com/office/drawing/2014/chart" uri="{C3380CC4-5D6E-409C-BE32-E72D297353CC}">
              <c16:uniqueId val="{00000003-6D9C-47B3-B70A-D31A764D3F6C}"/>
            </c:ext>
          </c:extLst>
        </c:ser>
        <c:gapWidth val="219"/>
        <c:overlap val="-27"/>
        <c:axId val="145087872"/>
        <c:axId val="145560704"/>
      </c:barChart>
      <c:catAx>
        <c:axId val="145087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560704"/>
        <c:crosses val="autoZero"/>
        <c:auto val="1"/>
        <c:lblAlgn val="ctr"/>
        <c:lblOffset val="100"/>
      </c:catAx>
      <c:valAx>
        <c:axId val="145560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145087872"/>
        <c:crosses val="autoZero"/>
        <c:crossBetween val="between"/>
      </c:valAx>
      <c:dTable>
        <c:showHorzBorder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C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hr-H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BA" sz="1200" b="0" i="0" u="none" strike="noStrike" baseline="0">
                <a:effectLst/>
                <a:latin typeface="Times New Roman" panose="02020603050405020304" pitchFamily="18" charset="0"/>
                <a:cs typeface="Times New Roman" panose="02020603050405020304" pitchFamily="18" charset="0"/>
              </a:rPr>
              <a:t>Pozicije osoba u tvrtkama koje su odgovarale na pitanja ankete</a:t>
            </a:r>
            <a:endParaRPr lang="hr-HR" sz="1200">
              <a:latin typeface="Times New Roman" panose="02020603050405020304" pitchFamily="18" charset="0"/>
              <a:cs typeface="Times New Roman" panose="02020603050405020304" pitchFamily="18"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74E-41A3-BD4B-5136B1C691F5}"/>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74E-41A3-BD4B-5136B1C691F5}"/>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74E-41A3-BD4B-5136B1C691F5}"/>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74E-41A3-BD4B-5136B1C691F5}"/>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74E-41A3-BD4B-5136B1C691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C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List2!$C$6:$C$10</c:f>
              <c:strCache>
                <c:ptCount val="5"/>
                <c:pt idx="0">
                  <c:v>Vlasnik</c:v>
                </c:pt>
                <c:pt idx="1">
                  <c:v>Menadžment</c:v>
                </c:pt>
                <c:pt idx="2">
                  <c:v>Ljudski resursi</c:v>
                </c:pt>
                <c:pt idx="3">
                  <c:v>Računovodstvo </c:v>
                </c:pt>
                <c:pt idx="4">
                  <c:v>Ostalo</c:v>
                </c:pt>
              </c:strCache>
            </c:strRef>
          </c:cat>
          <c:val>
            <c:numRef>
              <c:f>List2!$D$6:$D$10</c:f>
              <c:numCache>
                <c:formatCode>0.00%</c:formatCode>
                <c:ptCount val="5"/>
                <c:pt idx="0">
                  <c:v>0.35820000000000002</c:v>
                </c:pt>
                <c:pt idx="1">
                  <c:v>0.23880000000000001</c:v>
                </c:pt>
                <c:pt idx="2">
                  <c:v>8.2100000000000006E-2</c:v>
                </c:pt>
                <c:pt idx="3">
                  <c:v>0.17910000000000001</c:v>
                </c:pt>
                <c:pt idx="4">
                  <c:v>0.14180000000000001</c:v>
                </c:pt>
              </c:numCache>
            </c:numRef>
          </c:val>
          <c:extLst xmlns:c16r2="http://schemas.microsoft.com/office/drawing/2015/06/chart">
            <c:ext xmlns:c16="http://schemas.microsoft.com/office/drawing/2014/chart" uri="{C3380CC4-5D6E-409C-BE32-E72D297353CC}">
              <c16:uniqueId val="{0000000A-A74E-41A3-BD4B-5136B1C691F5}"/>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r-Latn-C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82</Pages>
  <Words>31306</Words>
  <Characters>178445</Characters>
  <Application>Microsoft Office Word</Application>
  <DocSecurity>0</DocSecurity>
  <Lines>1487</Lines>
  <Paragraphs>418</Paragraphs>
  <ScaleCrop>false</ScaleCrop>
  <Company/>
  <LinksUpToDate>false</LinksUpToDate>
  <CharactersWithSpaces>209333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Bahrija Umihanic</dc:creator>
  <cp:lastModifiedBy>Korisnik</cp:lastModifiedBy>
  <cp:revision>2</cp:revision>
  <dcterms:created xsi:type="dcterms:W3CDTF">2021-04-08T10:58:00Z</dcterms:created>
  <dcterms:modified xsi:type="dcterms:W3CDTF">2021-04-08T10:58:00Z</dcterms:modified>
</cp:coreProperties>
</file>